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5F68" w14:textId="5AA23CA3" w:rsidR="006B557C" w:rsidRPr="00DD0034" w:rsidRDefault="006B557C" w:rsidP="0038596F">
      <w:pPr>
        <w:shd w:val="clear" w:color="auto" w:fill="FFFFFF"/>
        <w:jc w:val="center"/>
        <w:rPr>
          <w:rFonts w:eastAsia="Times New Roman" w:cstheme="minorHAnsi"/>
          <w:b/>
          <w:sz w:val="22"/>
          <w:szCs w:val="22"/>
        </w:rPr>
      </w:pPr>
      <w:r w:rsidRPr="00F04FD7">
        <w:rPr>
          <w:rFonts w:cstheme="minorHAnsi"/>
          <w:noProof/>
          <w:sz w:val="22"/>
          <w:szCs w:val="22"/>
        </w:rPr>
        <w:drawing>
          <wp:inline distT="0" distB="0" distL="0" distR="0" wp14:anchorId="0F183261" wp14:editId="12CFE9B2">
            <wp:extent cx="999142" cy="717550"/>
            <wp:effectExtent l="0" t="0" r="0" b="6350"/>
            <wp:docPr id="1" name="Picture 1" descr="https://www.gcir.org/sites/default/files/events/CA%20Census%202020%20Stat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cir.org/sites/default/files/events/CA%20Census%202020%20State%20Log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4514"/>
                    <a:stretch/>
                  </pic:blipFill>
                  <pic:spPr bwMode="auto">
                    <a:xfrm>
                      <a:off x="0" y="0"/>
                      <a:ext cx="1025470" cy="736458"/>
                    </a:xfrm>
                    <a:prstGeom prst="rect">
                      <a:avLst/>
                    </a:prstGeom>
                    <a:noFill/>
                    <a:ln>
                      <a:noFill/>
                    </a:ln>
                    <a:extLst>
                      <a:ext uri="{53640926-AAD7-44D8-BBD7-CCE9431645EC}">
                        <a14:shadowObscured xmlns:a14="http://schemas.microsoft.com/office/drawing/2010/main"/>
                      </a:ext>
                    </a:extLst>
                  </pic:spPr>
                </pic:pic>
              </a:graphicData>
            </a:graphic>
          </wp:inline>
        </w:drawing>
      </w:r>
    </w:p>
    <w:p w14:paraId="1188E6AA" w14:textId="77777777" w:rsidR="006B557C" w:rsidRPr="00DD0034" w:rsidRDefault="006B557C" w:rsidP="0038596F">
      <w:pPr>
        <w:shd w:val="clear" w:color="auto" w:fill="FFFFFF"/>
        <w:jc w:val="center"/>
        <w:rPr>
          <w:rFonts w:eastAsia="Times New Roman" w:cstheme="minorHAnsi"/>
          <w:b/>
          <w:sz w:val="22"/>
          <w:szCs w:val="22"/>
        </w:rPr>
      </w:pPr>
    </w:p>
    <w:p w14:paraId="6FE259B5" w14:textId="59986B37" w:rsidR="006B557C" w:rsidRPr="00DD0034" w:rsidRDefault="006B557C" w:rsidP="0038596F">
      <w:pPr>
        <w:shd w:val="clear" w:color="auto" w:fill="FFFFFF"/>
        <w:jc w:val="center"/>
        <w:rPr>
          <w:rFonts w:eastAsia="Times New Roman" w:cstheme="minorHAnsi"/>
          <w:sz w:val="22"/>
          <w:szCs w:val="22"/>
        </w:rPr>
      </w:pPr>
    </w:p>
    <w:p w14:paraId="3C6890A7" w14:textId="77777777" w:rsidR="006B557C" w:rsidRPr="00F04FD7" w:rsidRDefault="006B557C" w:rsidP="006B557C">
      <w:pPr>
        <w:spacing w:after="300"/>
        <w:textAlignment w:val="baseline"/>
        <w:rPr>
          <w:rFonts w:eastAsia="Times New Roman" w:cstheme="minorHAnsi"/>
          <w:color w:val="000000"/>
          <w:sz w:val="22"/>
          <w:szCs w:val="22"/>
        </w:rPr>
      </w:pPr>
      <w:r w:rsidRPr="00F04FD7">
        <w:rPr>
          <w:rFonts w:eastAsia="Times New Roman" w:cstheme="minorHAnsi"/>
          <w:color w:val="000000"/>
          <w:sz w:val="22"/>
          <w:szCs w:val="22"/>
        </w:rPr>
        <w:t>The California Census 2020 Statewide Funders’ Initiative was established in 2017 in order to achieve two overarching goals:</w:t>
      </w:r>
    </w:p>
    <w:p w14:paraId="12822F50" w14:textId="77777777" w:rsidR="006B557C" w:rsidRPr="00F04FD7" w:rsidRDefault="006B557C" w:rsidP="006B557C">
      <w:pPr>
        <w:pStyle w:val="ListParagraph"/>
        <w:numPr>
          <w:ilvl w:val="0"/>
          <w:numId w:val="24"/>
        </w:numPr>
        <w:spacing w:before="150" w:after="150"/>
        <w:textAlignment w:val="baseline"/>
        <w:rPr>
          <w:rFonts w:eastAsia="Times New Roman" w:cstheme="minorHAnsi"/>
          <w:color w:val="000000"/>
          <w:sz w:val="22"/>
          <w:szCs w:val="22"/>
        </w:rPr>
      </w:pPr>
      <w:r w:rsidRPr="00F04FD7">
        <w:rPr>
          <w:rFonts w:eastAsia="Times New Roman" w:cstheme="minorHAnsi"/>
          <w:color w:val="000000"/>
          <w:sz w:val="22"/>
          <w:szCs w:val="22"/>
        </w:rPr>
        <w:t>To ensure that hard-to-count populations in California are accurately counted</w:t>
      </w:r>
    </w:p>
    <w:p w14:paraId="70770FBB" w14:textId="127AA162" w:rsidR="0038596F" w:rsidRPr="00F04FD7" w:rsidRDefault="006B557C" w:rsidP="00FB6792">
      <w:pPr>
        <w:pStyle w:val="ListParagraph"/>
        <w:numPr>
          <w:ilvl w:val="0"/>
          <w:numId w:val="24"/>
        </w:numPr>
        <w:spacing w:before="150" w:after="150"/>
        <w:textAlignment w:val="baseline"/>
        <w:rPr>
          <w:rFonts w:eastAsia="Times New Roman" w:cstheme="minorHAnsi"/>
          <w:color w:val="000000"/>
          <w:sz w:val="22"/>
          <w:szCs w:val="22"/>
        </w:rPr>
      </w:pPr>
      <w:r w:rsidRPr="00F04FD7">
        <w:rPr>
          <w:rFonts w:eastAsia="Times New Roman" w:cstheme="minorHAnsi"/>
          <w:color w:val="000000"/>
          <w:sz w:val="22"/>
          <w:szCs w:val="22"/>
        </w:rPr>
        <w:t>To build a stronger movement infrastructure across the state that can improve opportunities and conditions for Californians who have been politically, economically, and socially marginalized</w:t>
      </w:r>
    </w:p>
    <w:p w14:paraId="177430EE" w14:textId="77777777" w:rsidR="00FB6792" w:rsidRPr="00DD0034" w:rsidRDefault="00FB6792" w:rsidP="00FB6792">
      <w:pPr>
        <w:pStyle w:val="ListParagraph"/>
        <w:shd w:val="clear" w:color="auto" w:fill="FFFFFF"/>
        <w:ind w:left="870"/>
        <w:rPr>
          <w:rFonts w:eastAsia="Times New Roman" w:cstheme="minorHAnsi"/>
          <w:b/>
          <w:sz w:val="22"/>
          <w:szCs w:val="22"/>
        </w:rPr>
      </w:pPr>
    </w:p>
    <w:p w14:paraId="50B117EB" w14:textId="2506F866" w:rsidR="00FB6792" w:rsidRPr="00DD0034" w:rsidRDefault="00FB6792" w:rsidP="00FB6792">
      <w:pPr>
        <w:shd w:val="clear" w:color="auto" w:fill="FFFFFF"/>
        <w:jc w:val="center"/>
        <w:rPr>
          <w:rFonts w:eastAsia="Times New Roman" w:cstheme="minorHAnsi"/>
          <w:b/>
          <w:sz w:val="22"/>
          <w:szCs w:val="22"/>
        </w:rPr>
      </w:pPr>
      <w:r w:rsidRPr="00DD0034">
        <w:rPr>
          <w:rFonts w:eastAsia="Times New Roman" w:cstheme="minorHAnsi"/>
          <w:b/>
          <w:sz w:val="22"/>
          <w:szCs w:val="22"/>
        </w:rPr>
        <w:t>Count All Kids</w:t>
      </w:r>
    </w:p>
    <w:p w14:paraId="058DDC09" w14:textId="7ECC2F32" w:rsidR="00FB6792" w:rsidRPr="00DD0034" w:rsidRDefault="00FB6792" w:rsidP="00FB6792">
      <w:pPr>
        <w:shd w:val="clear" w:color="auto" w:fill="FFFFFF"/>
        <w:jc w:val="center"/>
        <w:rPr>
          <w:rFonts w:eastAsia="Times New Roman" w:cstheme="minorHAnsi"/>
          <w:sz w:val="22"/>
          <w:szCs w:val="22"/>
        </w:rPr>
      </w:pPr>
      <w:r w:rsidRPr="00DD0034">
        <w:rPr>
          <w:rFonts w:eastAsia="Times New Roman" w:cstheme="minorHAnsi"/>
          <w:sz w:val="22"/>
          <w:szCs w:val="22"/>
        </w:rPr>
        <w:t>Recommendations for the Count of Young Children</w:t>
      </w:r>
    </w:p>
    <w:p w14:paraId="7A3B8B38" w14:textId="77777777" w:rsidR="00FB6792" w:rsidRPr="00DD0034" w:rsidRDefault="00FB6792" w:rsidP="00FB6792">
      <w:pPr>
        <w:shd w:val="clear" w:color="auto" w:fill="FFFFFF"/>
        <w:jc w:val="center"/>
        <w:rPr>
          <w:rFonts w:eastAsia="Times New Roman" w:cstheme="minorHAnsi"/>
          <w:sz w:val="22"/>
          <w:szCs w:val="22"/>
        </w:rPr>
      </w:pPr>
    </w:p>
    <w:p w14:paraId="66A205E4" w14:textId="6B03D970" w:rsidR="001B5FC9" w:rsidRPr="00F04FD7" w:rsidRDefault="00EF6750" w:rsidP="00522B84">
      <w:pPr>
        <w:shd w:val="clear" w:color="auto" w:fill="FFFFFF"/>
        <w:rPr>
          <w:rFonts w:cstheme="minorHAnsi"/>
          <w:color w:val="000000"/>
          <w:sz w:val="22"/>
          <w:szCs w:val="22"/>
          <w:shd w:val="clear" w:color="auto" w:fill="FBFBFB"/>
        </w:rPr>
      </w:pPr>
      <w:r w:rsidRPr="00F04FD7">
        <w:rPr>
          <w:rFonts w:cstheme="minorHAnsi"/>
          <w:color w:val="000000"/>
          <w:sz w:val="22"/>
          <w:szCs w:val="22"/>
          <w:shd w:val="clear" w:color="auto" w:fill="FBFBFB"/>
        </w:rPr>
        <w:t>In the 2010 Census, a</w:t>
      </w:r>
      <w:r w:rsidR="001B5FC9" w:rsidRPr="00F04FD7">
        <w:rPr>
          <w:rFonts w:cstheme="minorHAnsi"/>
          <w:color w:val="000000"/>
          <w:sz w:val="22"/>
          <w:szCs w:val="22"/>
          <w:shd w:val="clear" w:color="auto" w:fill="FBFBFB"/>
        </w:rPr>
        <w:t xml:space="preserve">n estimated </w:t>
      </w:r>
      <w:r w:rsidR="00F76628" w:rsidRPr="00F04FD7">
        <w:rPr>
          <w:rFonts w:cstheme="minorHAnsi"/>
          <w:color w:val="000000"/>
          <w:sz w:val="22"/>
          <w:szCs w:val="22"/>
          <w:shd w:val="clear" w:color="auto" w:fill="FBFBFB"/>
        </w:rPr>
        <w:t>2.2</w:t>
      </w:r>
      <w:r w:rsidR="001B5FC9" w:rsidRPr="00F04FD7">
        <w:rPr>
          <w:rFonts w:cstheme="minorHAnsi"/>
          <w:color w:val="000000"/>
          <w:sz w:val="22"/>
          <w:szCs w:val="22"/>
          <w:shd w:val="clear" w:color="auto" w:fill="FBFBFB"/>
        </w:rPr>
        <w:t xml:space="preserve"> million children were </w:t>
      </w:r>
      <w:r w:rsidR="00F76628" w:rsidRPr="00F04FD7">
        <w:rPr>
          <w:rFonts w:cstheme="minorHAnsi"/>
          <w:color w:val="000000"/>
          <w:sz w:val="22"/>
          <w:szCs w:val="22"/>
          <w:shd w:val="clear" w:color="auto" w:fill="FBFBFB"/>
        </w:rPr>
        <w:t>missed, with a net undercount of nearly 1 million (the</w:t>
      </w:r>
      <w:r w:rsidR="00BA250E" w:rsidRPr="00F04FD7">
        <w:rPr>
          <w:rFonts w:cstheme="minorHAnsi"/>
          <w:color w:val="000000"/>
          <w:sz w:val="22"/>
          <w:szCs w:val="22"/>
          <w:shd w:val="clear" w:color="auto" w:fill="FBFBFB"/>
        </w:rPr>
        <w:t xml:space="preserve"> net undercount is</w:t>
      </w:r>
      <w:r w:rsidR="00F76628" w:rsidRPr="00F04FD7">
        <w:rPr>
          <w:rFonts w:cstheme="minorHAnsi"/>
          <w:color w:val="000000"/>
          <w:sz w:val="22"/>
          <w:szCs w:val="22"/>
          <w:shd w:val="clear" w:color="auto" w:fill="FBFBFB"/>
        </w:rPr>
        <w:t xml:space="preserve"> number by which the total count was low</w:t>
      </w:r>
      <w:r w:rsidR="00BA250E" w:rsidRPr="00F04FD7">
        <w:rPr>
          <w:rFonts w:cstheme="minorHAnsi"/>
          <w:color w:val="000000"/>
          <w:sz w:val="22"/>
          <w:szCs w:val="22"/>
          <w:shd w:val="clear" w:color="auto" w:fill="FBFBFB"/>
        </w:rPr>
        <w:t xml:space="preserve">er than the actual number of children; it </w:t>
      </w:r>
      <w:r w:rsidR="004F6404" w:rsidRPr="00F04FD7">
        <w:rPr>
          <w:rFonts w:cstheme="minorHAnsi"/>
          <w:color w:val="000000"/>
          <w:sz w:val="22"/>
          <w:szCs w:val="22"/>
          <w:shd w:val="clear" w:color="auto" w:fill="FBFBFB"/>
        </w:rPr>
        <w:t>is</w:t>
      </w:r>
      <w:r w:rsidR="00F76628" w:rsidRPr="00F04FD7">
        <w:rPr>
          <w:rFonts w:cstheme="minorHAnsi"/>
          <w:color w:val="000000"/>
          <w:sz w:val="22"/>
          <w:szCs w:val="22"/>
          <w:shd w:val="clear" w:color="auto" w:fill="FBFBFB"/>
        </w:rPr>
        <w:t xml:space="preserve"> calculated by subtracting double counted children from the omitted children)</w:t>
      </w:r>
      <w:r w:rsidR="001B5FC9" w:rsidRPr="00F04FD7">
        <w:rPr>
          <w:rFonts w:cstheme="minorHAnsi"/>
          <w:color w:val="000000"/>
          <w:sz w:val="22"/>
          <w:szCs w:val="22"/>
          <w:shd w:val="clear" w:color="auto" w:fill="FBFBFB"/>
        </w:rPr>
        <w:t>, with young Latino and black children having the highest net undercount.</w:t>
      </w:r>
      <w:r w:rsidR="00F76628" w:rsidRPr="00F04FD7">
        <w:rPr>
          <w:rFonts w:cstheme="minorHAnsi"/>
          <w:color w:val="000000"/>
          <w:sz w:val="22"/>
          <w:szCs w:val="22"/>
          <w:shd w:val="clear" w:color="auto" w:fill="FBFBFB"/>
        </w:rPr>
        <w:t xml:space="preserve">  (Data for Asian American children and other demographic groups is not available</w:t>
      </w:r>
      <w:r w:rsidR="00BA250E" w:rsidRPr="00F04FD7">
        <w:rPr>
          <w:rFonts w:cstheme="minorHAnsi"/>
          <w:color w:val="000000"/>
          <w:sz w:val="22"/>
          <w:szCs w:val="22"/>
          <w:shd w:val="clear" w:color="auto" w:fill="FBFBFB"/>
        </w:rPr>
        <w:t xml:space="preserve"> for the 2010 Census</w:t>
      </w:r>
      <w:r w:rsidR="00F76628" w:rsidRPr="00F04FD7">
        <w:rPr>
          <w:rFonts w:cstheme="minorHAnsi"/>
          <w:color w:val="000000"/>
          <w:sz w:val="22"/>
          <w:szCs w:val="22"/>
          <w:shd w:val="clear" w:color="auto" w:fill="FBFBFB"/>
        </w:rPr>
        <w:t xml:space="preserve">.) California had the second biggest net undercount in the country; the count for California was </w:t>
      </w:r>
      <w:r w:rsidR="00C25B68" w:rsidRPr="00F04FD7">
        <w:rPr>
          <w:rFonts w:cstheme="minorHAnsi"/>
          <w:color w:val="000000"/>
          <w:sz w:val="22"/>
          <w:szCs w:val="22"/>
          <w:shd w:val="clear" w:color="auto" w:fill="FBFBFB"/>
        </w:rPr>
        <w:t>nearly 102</w:t>
      </w:r>
      <w:r w:rsidR="00BA250E" w:rsidRPr="00F04FD7">
        <w:rPr>
          <w:rFonts w:cstheme="minorHAnsi"/>
          <w:color w:val="000000"/>
          <w:sz w:val="22"/>
          <w:szCs w:val="22"/>
          <w:shd w:val="clear" w:color="auto" w:fill="FBFBFB"/>
        </w:rPr>
        <w:t>,000 children less</w:t>
      </w:r>
      <w:r w:rsidR="00F76628" w:rsidRPr="00F04FD7">
        <w:rPr>
          <w:rFonts w:cstheme="minorHAnsi"/>
          <w:color w:val="000000"/>
          <w:sz w:val="22"/>
          <w:szCs w:val="22"/>
          <w:shd w:val="clear" w:color="auto" w:fill="FBFBFB"/>
        </w:rPr>
        <w:t xml:space="preserve"> than it should have been. </w:t>
      </w:r>
      <w:r w:rsidR="001B5FC9" w:rsidRPr="00F04FD7">
        <w:rPr>
          <w:rFonts w:cstheme="minorHAnsi"/>
          <w:color w:val="000000"/>
          <w:sz w:val="22"/>
          <w:szCs w:val="22"/>
          <w:shd w:val="clear" w:color="auto" w:fill="FBFBFB"/>
        </w:rPr>
        <w:t xml:space="preserve"> </w:t>
      </w:r>
      <w:r w:rsidR="00E21502" w:rsidRPr="00F04FD7">
        <w:rPr>
          <w:rFonts w:cstheme="minorHAnsi"/>
          <w:color w:val="000000"/>
          <w:sz w:val="22"/>
          <w:szCs w:val="22"/>
          <w:shd w:val="clear" w:color="auto" w:fill="FBFBFB"/>
        </w:rPr>
        <w:t>The undercount of young children has worsened since 1980. Children</w:t>
      </w:r>
      <w:r w:rsidR="001B5FC9" w:rsidRPr="00F04FD7">
        <w:rPr>
          <w:rFonts w:cstheme="minorHAnsi"/>
          <w:color w:val="000000"/>
          <w:sz w:val="22"/>
          <w:szCs w:val="22"/>
          <w:shd w:val="clear" w:color="auto" w:fill="FBFBFB"/>
        </w:rPr>
        <w:t xml:space="preserve"> under 5 are undercounted at a higher rate than any other age group</w:t>
      </w:r>
      <w:r w:rsidR="00E21502" w:rsidRPr="00F04FD7">
        <w:rPr>
          <w:rFonts w:cstheme="minorHAnsi"/>
          <w:color w:val="000000"/>
          <w:sz w:val="22"/>
          <w:szCs w:val="22"/>
          <w:shd w:val="clear" w:color="auto" w:fill="FBFBFB"/>
        </w:rPr>
        <w:t xml:space="preserve">. </w:t>
      </w:r>
      <w:r w:rsidR="001B5FC9" w:rsidRPr="00F04FD7">
        <w:rPr>
          <w:rFonts w:cstheme="minorHAnsi"/>
          <w:color w:val="000000"/>
          <w:sz w:val="22"/>
          <w:szCs w:val="22"/>
          <w:shd w:val="clear" w:color="auto" w:fill="FBFBFB"/>
        </w:rPr>
        <w:t>California has a much larger population of young children than any other state. More than 1.5 million infants and toddlers live in California families, with 62 percent of them born into low-income households likely to rely on crucial support services that receive federal funding determined by the census.</w:t>
      </w:r>
    </w:p>
    <w:p w14:paraId="2E799A2B" w14:textId="77777777" w:rsidR="00522B84" w:rsidRPr="00DD0034" w:rsidRDefault="00522B84" w:rsidP="00522B84">
      <w:pPr>
        <w:shd w:val="clear" w:color="auto" w:fill="FFFFFF"/>
        <w:rPr>
          <w:rFonts w:eastAsia="Times New Roman" w:cstheme="minorHAnsi"/>
          <w:sz w:val="22"/>
          <w:szCs w:val="22"/>
        </w:rPr>
      </w:pPr>
    </w:p>
    <w:p w14:paraId="10713C96" w14:textId="77777777" w:rsidR="000333A2" w:rsidRPr="00DD0034" w:rsidRDefault="000333A2" w:rsidP="000333A2">
      <w:pPr>
        <w:rPr>
          <w:rFonts w:cstheme="minorHAnsi"/>
          <w:b/>
          <w:sz w:val="22"/>
          <w:szCs w:val="22"/>
        </w:rPr>
      </w:pPr>
      <w:r w:rsidRPr="00DD0034">
        <w:rPr>
          <w:rFonts w:cstheme="minorHAnsi"/>
          <w:b/>
          <w:sz w:val="22"/>
          <w:szCs w:val="22"/>
        </w:rPr>
        <w:t>Children are more likely to be missed in a census if:</w:t>
      </w:r>
    </w:p>
    <w:p w14:paraId="632E0BCD" w14:textId="77777777" w:rsidR="000333A2" w:rsidRPr="00DD0034" w:rsidRDefault="000333A2" w:rsidP="00522B84">
      <w:pPr>
        <w:pStyle w:val="ListParagraph"/>
        <w:numPr>
          <w:ilvl w:val="0"/>
          <w:numId w:val="19"/>
        </w:numPr>
        <w:rPr>
          <w:rFonts w:cstheme="minorHAnsi"/>
          <w:sz w:val="22"/>
          <w:szCs w:val="22"/>
        </w:rPr>
      </w:pPr>
      <w:r w:rsidRPr="00DD0034">
        <w:rPr>
          <w:rFonts w:cstheme="minorHAnsi"/>
          <w:sz w:val="22"/>
          <w:szCs w:val="22"/>
        </w:rPr>
        <w:t>They live in large and complex households</w:t>
      </w:r>
    </w:p>
    <w:p w14:paraId="788791FC" w14:textId="77777777" w:rsidR="000333A2" w:rsidRPr="00DD0034" w:rsidRDefault="000333A2" w:rsidP="00522B84">
      <w:pPr>
        <w:pStyle w:val="ListParagraph"/>
        <w:numPr>
          <w:ilvl w:val="0"/>
          <w:numId w:val="19"/>
        </w:numPr>
        <w:rPr>
          <w:rFonts w:cstheme="minorHAnsi"/>
          <w:sz w:val="22"/>
          <w:szCs w:val="22"/>
        </w:rPr>
      </w:pPr>
      <w:r w:rsidRPr="00DD0034">
        <w:rPr>
          <w:rFonts w:cstheme="minorHAnsi"/>
          <w:sz w:val="22"/>
          <w:szCs w:val="22"/>
        </w:rPr>
        <w:t>They live with single parents or young parents between the ages of 18-29.</w:t>
      </w:r>
    </w:p>
    <w:p w14:paraId="03F85A93" w14:textId="77777777" w:rsidR="000333A2" w:rsidRPr="00DD0034" w:rsidRDefault="000333A2" w:rsidP="00522B84">
      <w:pPr>
        <w:pStyle w:val="ListParagraph"/>
        <w:numPr>
          <w:ilvl w:val="0"/>
          <w:numId w:val="19"/>
        </w:numPr>
        <w:rPr>
          <w:rFonts w:cstheme="minorHAnsi"/>
          <w:sz w:val="22"/>
          <w:szCs w:val="22"/>
        </w:rPr>
      </w:pPr>
      <w:r w:rsidRPr="00DD0034">
        <w:rPr>
          <w:rFonts w:cstheme="minorHAnsi"/>
          <w:sz w:val="22"/>
          <w:szCs w:val="22"/>
        </w:rPr>
        <w:t>They are not the biological or adopted child of the householder.</w:t>
      </w:r>
    </w:p>
    <w:p w14:paraId="69B76DC6" w14:textId="1AFF576B" w:rsidR="000333A2" w:rsidRPr="00DD0034" w:rsidRDefault="000333A2" w:rsidP="00522B84">
      <w:pPr>
        <w:pStyle w:val="ListParagraph"/>
        <w:numPr>
          <w:ilvl w:val="0"/>
          <w:numId w:val="19"/>
        </w:numPr>
        <w:rPr>
          <w:rFonts w:cstheme="minorHAnsi"/>
          <w:sz w:val="22"/>
          <w:szCs w:val="22"/>
        </w:rPr>
      </w:pPr>
      <w:r w:rsidRPr="00DD0034">
        <w:rPr>
          <w:rFonts w:cstheme="minorHAnsi"/>
          <w:sz w:val="22"/>
          <w:szCs w:val="22"/>
        </w:rPr>
        <w:t>They live with their grandparents, aunts and uncles, or other family members</w:t>
      </w:r>
    </w:p>
    <w:p w14:paraId="50C97039" w14:textId="73401103" w:rsidR="00C25B68" w:rsidRPr="00DD0034" w:rsidRDefault="00C25B68" w:rsidP="00522B84">
      <w:pPr>
        <w:pStyle w:val="ListParagraph"/>
        <w:numPr>
          <w:ilvl w:val="0"/>
          <w:numId w:val="19"/>
        </w:numPr>
        <w:rPr>
          <w:rFonts w:cstheme="minorHAnsi"/>
          <w:sz w:val="22"/>
          <w:szCs w:val="22"/>
        </w:rPr>
      </w:pPr>
      <w:r w:rsidRPr="00DD0034">
        <w:rPr>
          <w:rFonts w:cstheme="minorHAnsi"/>
          <w:sz w:val="22"/>
          <w:szCs w:val="22"/>
        </w:rPr>
        <w:t>Their family shares a household with another unrelated family</w:t>
      </w:r>
    </w:p>
    <w:p w14:paraId="7BD98384" w14:textId="22935628" w:rsidR="00C25B68" w:rsidRPr="00DD0034" w:rsidRDefault="00C25B68" w:rsidP="00522B84">
      <w:pPr>
        <w:pStyle w:val="ListParagraph"/>
        <w:numPr>
          <w:ilvl w:val="0"/>
          <w:numId w:val="19"/>
        </w:numPr>
        <w:rPr>
          <w:rFonts w:cstheme="minorHAnsi"/>
          <w:sz w:val="22"/>
          <w:szCs w:val="22"/>
        </w:rPr>
      </w:pPr>
      <w:r w:rsidRPr="00DD0034">
        <w:rPr>
          <w:rFonts w:cstheme="minorHAnsi"/>
          <w:sz w:val="22"/>
          <w:szCs w:val="22"/>
        </w:rPr>
        <w:t>Their family is living “temporarily” with another household and doesn’t have a permanent residence</w:t>
      </w:r>
    </w:p>
    <w:p w14:paraId="3CFB43DC" w14:textId="77777777" w:rsidR="000333A2" w:rsidRPr="00DD0034" w:rsidRDefault="000333A2" w:rsidP="00522B84">
      <w:pPr>
        <w:pStyle w:val="ListParagraph"/>
        <w:numPr>
          <w:ilvl w:val="0"/>
          <w:numId w:val="19"/>
        </w:numPr>
        <w:rPr>
          <w:rFonts w:cstheme="minorHAnsi"/>
          <w:sz w:val="22"/>
          <w:szCs w:val="22"/>
        </w:rPr>
      </w:pPr>
      <w:r w:rsidRPr="00DD0034">
        <w:rPr>
          <w:rFonts w:cstheme="minorHAnsi"/>
          <w:sz w:val="22"/>
          <w:szCs w:val="22"/>
        </w:rPr>
        <w:t>They live in families that do not speak English or their family includes immigrants.</w:t>
      </w:r>
    </w:p>
    <w:p w14:paraId="0E671D3A" w14:textId="4355358C" w:rsidR="000333A2" w:rsidRPr="00DD0034" w:rsidRDefault="000333A2" w:rsidP="00522B84">
      <w:pPr>
        <w:pStyle w:val="ListParagraph"/>
        <w:numPr>
          <w:ilvl w:val="0"/>
          <w:numId w:val="19"/>
        </w:numPr>
        <w:rPr>
          <w:rFonts w:cstheme="minorHAnsi"/>
          <w:sz w:val="22"/>
          <w:szCs w:val="22"/>
        </w:rPr>
      </w:pPr>
      <w:r w:rsidRPr="00DD0034">
        <w:rPr>
          <w:rFonts w:cstheme="minorHAnsi"/>
          <w:sz w:val="22"/>
          <w:szCs w:val="22"/>
        </w:rPr>
        <w:t xml:space="preserve">They live </w:t>
      </w:r>
      <w:r w:rsidR="008C2371" w:rsidRPr="00DD0034">
        <w:rPr>
          <w:rFonts w:cstheme="minorHAnsi"/>
          <w:sz w:val="22"/>
          <w:szCs w:val="22"/>
        </w:rPr>
        <w:t>with</w:t>
      </w:r>
      <w:r w:rsidR="002B5BDC" w:rsidRPr="00DD0034">
        <w:rPr>
          <w:rFonts w:cstheme="minorHAnsi"/>
          <w:sz w:val="22"/>
          <w:szCs w:val="22"/>
        </w:rPr>
        <w:t xml:space="preserve"> </w:t>
      </w:r>
      <w:r w:rsidRPr="00DD0034">
        <w:rPr>
          <w:rFonts w:cstheme="minorHAnsi"/>
          <w:sz w:val="22"/>
          <w:szCs w:val="22"/>
        </w:rPr>
        <w:t>poor families.</w:t>
      </w:r>
    </w:p>
    <w:p w14:paraId="24D8E66E" w14:textId="397E8A01" w:rsidR="000333A2" w:rsidRPr="00DD0034" w:rsidRDefault="000333A2" w:rsidP="00522B84">
      <w:pPr>
        <w:pStyle w:val="ListParagraph"/>
        <w:numPr>
          <w:ilvl w:val="0"/>
          <w:numId w:val="19"/>
        </w:numPr>
        <w:rPr>
          <w:rFonts w:cstheme="minorHAnsi"/>
          <w:sz w:val="22"/>
          <w:szCs w:val="22"/>
        </w:rPr>
      </w:pPr>
      <w:r w:rsidRPr="00DD0034">
        <w:rPr>
          <w:rFonts w:cstheme="minorHAnsi"/>
          <w:sz w:val="22"/>
          <w:szCs w:val="22"/>
        </w:rPr>
        <w:t>Their families rent rather than own their home.</w:t>
      </w:r>
    </w:p>
    <w:p w14:paraId="46810AD3" w14:textId="5B846F24" w:rsidR="00C25B68" w:rsidRPr="00DD0034" w:rsidRDefault="00C25B68" w:rsidP="00522B84">
      <w:pPr>
        <w:pStyle w:val="ListParagraph"/>
        <w:numPr>
          <w:ilvl w:val="0"/>
          <w:numId w:val="19"/>
        </w:numPr>
        <w:rPr>
          <w:rFonts w:cstheme="minorHAnsi"/>
          <w:sz w:val="22"/>
          <w:szCs w:val="22"/>
        </w:rPr>
      </w:pPr>
      <w:r w:rsidRPr="00DD0034">
        <w:rPr>
          <w:rFonts w:cstheme="minorHAnsi"/>
          <w:sz w:val="22"/>
          <w:szCs w:val="22"/>
        </w:rPr>
        <w:t>Their family moved in the last year.</w:t>
      </w:r>
    </w:p>
    <w:p w14:paraId="02A8A733" w14:textId="63ED205C" w:rsidR="00C25B68" w:rsidRPr="00DD0034" w:rsidRDefault="00C25B68" w:rsidP="00522B84">
      <w:pPr>
        <w:pStyle w:val="ListParagraph"/>
        <w:numPr>
          <w:ilvl w:val="0"/>
          <w:numId w:val="19"/>
        </w:numPr>
        <w:rPr>
          <w:rFonts w:cstheme="minorHAnsi"/>
          <w:sz w:val="22"/>
          <w:szCs w:val="22"/>
        </w:rPr>
      </w:pPr>
      <w:r w:rsidRPr="00DD0034">
        <w:rPr>
          <w:rFonts w:cstheme="minorHAnsi"/>
          <w:sz w:val="22"/>
          <w:szCs w:val="22"/>
        </w:rPr>
        <w:t xml:space="preserve">They were born shortly before Census day. </w:t>
      </w:r>
    </w:p>
    <w:p w14:paraId="6DD62C16" w14:textId="4A570E70" w:rsidR="00B44376" w:rsidRPr="00DD0034" w:rsidRDefault="000333A2" w:rsidP="0000018A">
      <w:pPr>
        <w:pStyle w:val="ListParagraph"/>
        <w:numPr>
          <w:ilvl w:val="0"/>
          <w:numId w:val="19"/>
        </w:numPr>
        <w:rPr>
          <w:rFonts w:cstheme="minorHAnsi"/>
          <w:sz w:val="22"/>
          <w:szCs w:val="22"/>
        </w:rPr>
      </w:pPr>
      <w:r w:rsidRPr="00DD0034">
        <w:rPr>
          <w:rFonts w:cstheme="minorHAnsi"/>
          <w:sz w:val="22"/>
          <w:szCs w:val="22"/>
        </w:rPr>
        <w:t>Finally, some adults may not realize that babies, toddlers and young children are supposed to be included in the Census.</w:t>
      </w:r>
      <w:r w:rsidR="00522B84" w:rsidRPr="00DD0034">
        <w:rPr>
          <w:rFonts w:cstheme="minorHAnsi"/>
          <w:sz w:val="22"/>
          <w:szCs w:val="22"/>
        </w:rPr>
        <w:t xml:space="preserve"> </w:t>
      </w:r>
      <w:r w:rsidR="00C25B68" w:rsidRPr="00DD0034">
        <w:rPr>
          <w:rFonts w:cstheme="minorHAnsi"/>
          <w:sz w:val="22"/>
          <w:szCs w:val="22"/>
        </w:rPr>
        <w:t>Census Bureau research shows</w:t>
      </w:r>
      <w:r w:rsidR="00522B84" w:rsidRPr="00DD0034">
        <w:rPr>
          <w:rFonts w:cstheme="minorHAnsi"/>
          <w:sz w:val="22"/>
          <w:szCs w:val="22"/>
        </w:rPr>
        <w:t xml:space="preserve"> that 4 ou</w:t>
      </w:r>
      <w:r w:rsidR="007B1D59" w:rsidRPr="00DD0034">
        <w:rPr>
          <w:rFonts w:cstheme="minorHAnsi"/>
          <w:sz w:val="22"/>
          <w:szCs w:val="22"/>
        </w:rPr>
        <w:t>t</w:t>
      </w:r>
      <w:r w:rsidR="00522B84" w:rsidRPr="00DD0034">
        <w:rPr>
          <w:rFonts w:cstheme="minorHAnsi"/>
          <w:sz w:val="22"/>
          <w:szCs w:val="22"/>
        </w:rPr>
        <w:t xml:space="preserve"> of 5 children missed in the 2010 Census were from households that returned their Census forms </w:t>
      </w:r>
      <w:r w:rsidR="00C25B68" w:rsidRPr="00DD0034">
        <w:rPr>
          <w:rFonts w:cstheme="minorHAnsi"/>
          <w:sz w:val="22"/>
          <w:szCs w:val="22"/>
        </w:rPr>
        <w:t xml:space="preserve">or were otherwise counted </w:t>
      </w:r>
      <w:r w:rsidR="00522B84" w:rsidRPr="00DD0034">
        <w:rPr>
          <w:rFonts w:cstheme="minorHAnsi"/>
          <w:sz w:val="22"/>
          <w:szCs w:val="22"/>
        </w:rPr>
        <w:t xml:space="preserve">but left children off. </w:t>
      </w:r>
    </w:p>
    <w:p w14:paraId="24D86FC3" w14:textId="77777777" w:rsidR="00F50679" w:rsidRPr="00DD0034" w:rsidRDefault="00F50679" w:rsidP="00F50679">
      <w:pPr>
        <w:rPr>
          <w:rFonts w:eastAsia="Calibri" w:cstheme="minorHAnsi"/>
          <w:sz w:val="22"/>
          <w:szCs w:val="22"/>
        </w:rPr>
      </w:pPr>
    </w:p>
    <w:p w14:paraId="30465DE2" w14:textId="59D3C8E0" w:rsidR="00C25B68" w:rsidRPr="00DD0034" w:rsidRDefault="00F50679" w:rsidP="00F50679">
      <w:pPr>
        <w:rPr>
          <w:rFonts w:eastAsia="Calibri" w:cstheme="minorHAnsi"/>
          <w:sz w:val="22"/>
          <w:szCs w:val="22"/>
        </w:rPr>
      </w:pPr>
      <w:r w:rsidRPr="00DD0034">
        <w:rPr>
          <w:rFonts w:eastAsia="Calibri" w:cstheme="minorHAnsi"/>
          <w:sz w:val="22"/>
          <w:szCs w:val="22"/>
        </w:rPr>
        <w:lastRenderedPageBreak/>
        <w:t xml:space="preserve">According to a recent analysis by </w:t>
      </w:r>
      <w:r w:rsidR="00F54CED" w:rsidRPr="00DD0034">
        <w:rPr>
          <w:rFonts w:eastAsia="Calibri" w:cstheme="minorHAnsi"/>
          <w:sz w:val="22"/>
          <w:szCs w:val="22"/>
        </w:rPr>
        <w:t xml:space="preserve">Dr. </w:t>
      </w:r>
      <w:r w:rsidRPr="00DD0034">
        <w:rPr>
          <w:rFonts w:eastAsia="Calibri" w:cstheme="minorHAnsi"/>
          <w:sz w:val="22"/>
          <w:szCs w:val="22"/>
        </w:rPr>
        <w:t>Bill O’Hare, the nation’s leading expert on the child undercount, nationally, children 0-</w:t>
      </w:r>
      <w:r w:rsidR="00C25B68" w:rsidRPr="00DD0034">
        <w:rPr>
          <w:rFonts w:eastAsia="Calibri" w:cstheme="minorHAnsi"/>
          <w:sz w:val="22"/>
          <w:szCs w:val="22"/>
        </w:rPr>
        <w:t xml:space="preserve">4 were </w:t>
      </w:r>
      <w:r w:rsidRPr="00DD0034">
        <w:rPr>
          <w:rFonts w:eastAsia="Calibri" w:cstheme="minorHAnsi"/>
          <w:sz w:val="22"/>
          <w:szCs w:val="22"/>
        </w:rPr>
        <w:t xml:space="preserve">undercounted in the 2010 Census by </w:t>
      </w:r>
      <w:r w:rsidR="00C25B68" w:rsidRPr="00DD0034">
        <w:rPr>
          <w:rFonts w:eastAsia="Calibri" w:cstheme="minorHAnsi"/>
          <w:sz w:val="22"/>
          <w:szCs w:val="22"/>
        </w:rPr>
        <w:t>4.6</w:t>
      </w:r>
      <w:r w:rsidRPr="00DD0034">
        <w:rPr>
          <w:rFonts w:eastAsia="Calibri" w:cstheme="minorHAnsi"/>
          <w:sz w:val="22"/>
          <w:szCs w:val="22"/>
        </w:rPr>
        <w:t>%</w:t>
      </w:r>
      <w:r w:rsidR="00C25B68" w:rsidRPr="00DD0034">
        <w:rPr>
          <w:rFonts w:eastAsia="Calibri" w:cstheme="minorHAnsi"/>
          <w:sz w:val="22"/>
          <w:szCs w:val="22"/>
        </w:rPr>
        <w:t>, and young children aged 5-9 were undercounted by 2.2%</w:t>
      </w:r>
      <w:r w:rsidRPr="00DD0034">
        <w:rPr>
          <w:rFonts w:eastAsia="Calibri" w:cstheme="minorHAnsi"/>
          <w:sz w:val="22"/>
          <w:szCs w:val="22"/>
        </w:rPr>
        <w:t xml:space="preserve">. The </w:t>
      </w:r>
      <w:r w:rsidR="00C25B68" w:rsidRPr="00DD0034">
        <w:rPr>
          <w:rFonts w:eastAsia="Calibri" w:cstheme="minorHAnsi"/>
          <w:sz w:val="22"/>
          <w:szCs w:val="22"/>
        </w:rPr>
        <w:t xml:space="preserve">age </w:t>
      </w:r>
      <w:r w:rsidRPr="00DD0034">
        <w:rPr>
          <w:rFonts w:eastAsia="Calibri" w:cstheme="minorHAnsi"/>
          <w:sz w:val="22"/>
          <w:szCs w:val="22"/>
        </w:rPr>
        <w:t xml:space="preserve">demographic with the </w:t>
      </w:r>
      <w:r w:rsidR="00C25B68" w:rsidRPr="00DD0034">
        <w:rPr>
          <w:rFonts w:eastAsia="Calibri" w:cstheme="minorHAnsi"/>
          <w:sz w:val="22"/>
          <w:szCs w:val="22"/>
        </w:rPr>
        <w:t>third</w:t>
      </w:r>
      <w:r w:rsidRPr="00DD0034">
        <w:rPr>
          <w:rFonts w:eastAsia="Calibri" w:cstheme="minorHAnsi"/>
          <w:sz w:val="22"/>
          <w:szCs w:val="22"/>
        </w:rPr>
        <w:t xml:space="preserve"> largest undercount was adults 30-34 years old, at .7 percent.</w:t>
      </w:r>
      <w:r w:rsidR="00C25B68" w:rsidRPr="00DD0034">
        <w:rPr>
          <w:rFonts w:eastAsia="Calibri" w:cstheme="minorHAnsi"/>
          <w:sz w:val="22"/>
          <w:szCs w:val="22"/>
        </w:rPr>
        <w:t xml:space="preserve"> (Young black men aged 18-39 were missed at a higher rate, as were young Hispanic men aged 18-29, but since those groups are smaller, fewer people were missed.)</w:t>
      </w:r>
      <w:r w:rsidRPr="00DD0034">
        <w:rPr>
          <w:rFonts w:eastAsia="Calibri" w:cstheme="minorHAnsi"/>
          <w:sz w:val="22"/>
          <w:szCs w:val="22"/>
        </w:rPr>
        <w:t xml:space="preserve"> </w:t>
      </w:r>
    </w:p>
    <w:p w14:paraId="2ACC7D54" w14:textId="77777777" w:rsidR="00C25B68" w:rsidRPr="00DD0034" w:rsidRDefault="00C25B68" w:rsidP="00F50679">
      <w:pPr>
        <w:rPr>
          <w:rFonts w:eastAsia="Calibri" w:cstheme="minorHAnsi"/>
          <w:sz w:val="22"/>
          <w:szCs w:val="22"/>
        </w:rPr>
      </w:pPr>
    </w:p>
    <w:p w14:paraId="1E44648F" w14:textId="08D1C1AC" w:rsidR="00F50679" w:rsidRPr="00DD0034" w:rsidRDefault="00C25B68" w:rsidP="00F50679">
      <w:pPr>
        <w:rPr>
          <w:rFonts w:cstheme="minorHAnsi"/>
          <w:sz w:val="22"/>
          <w:szCs w:val="22"/>
          <w:shd w:val="clear" w:color="auto" w:fill="FFFFFF"/>
        </w:rPr>
      </w:pPr>
      <w:r w:rsidRPr="00DD0034">
        <w:rPr>
          <w:rFonts w:eastAsia="Calibri" w:cstheme="minorHAnsi"/>
          <w:sz w:val="22"/>
          <w:szCs w:val="22"/>
        </w:rPr>
        <w:t>Because</w:t>
      </w:r>
      <w:r w:rsidRPr="00DD0034">
        <w:rPr>
          <w:rFonts w:cstheme="minorHAnsi"/>
          <w:sz w:val="22"/>
          <w:szCs w:val="22"/>
          <w:shd w:val="clear" w:color="auto" w:fill="FFFFFF"/>
        </w:rPr>
        <w:t xml:space="preserve"> y</w:t>
      </w:r>
      <w:r w:rsidR="00F54CED" w:rsidRPr="00DD0034">
        <w:rPr>
          <w:rFonts w:cstheme="minorHAnsi"/>
          <w:sz w:val="22"/>
          <w:szCs w:val="22"/>
          <w:shd w:val="clear" w:color="auto" w:fill="FFFFFF"/>
        </w:rPr>
        <w:t>oung children are often missed in households that return the Census form, this means going beyond using the Hard to Count maps. Dr. Bill O’Hare and colleagues are working to develop a better approach to identifying these communities; in addition, child advocates are encouraging both the Census Bureau and the CUNY Hard to Count map project to add features to help find these kids. Sign up at countallkids.org to be notified when the tool is ready</w:t>
      </w:r>
      <w:r w:rsidRPr="00DD0034">
        <w:rPr>
          <w:rFonts w:cstheme="minorHAnsi"/>
          <w:sz w:val="22"/>
          <w:szCs w:val="22"/>
          <w:shd w:val="clear" w:color="auto" w:fill="FFFFFF"/>
        </w:rPr>
        <w:t>, in late spring</w:t>
      </w:r>
      <w:r w:rsidR="00F54CED" w:rsidRPr="00DD0034">
        <w:rPr>
          <w:rFonts w:cstheme="minorHAnsi"/>
          <w:sz w:val="22"/>
          <w:szCs w:val="22"/>
          <w:shd w:val="clear" w:color="auto" w:fill="FFFFFF"/>
        </w:rPr>
        <w:t xml:space="preserve">. </w:t>
      </w:r>
    </w:p>
    <w:p w14:paraId="705D41C2" w14:textId="3945B1C8" w:rsidR="00BA250E" w:rsidRPr="00DD0034" w:rsidRDefault="00BA250E" w:rsidP="00F50679">
      <w:pPr>
        <w:rPr>
          <w:rFonts w:cstheme="minorHAnsi"/>
          <w:sz w:val="22"/>
          <w:szCs w:val="22"/>
          <w:shd w:val="clear" w:color="auto" w:fill="FFFFFF"/>
        </w:rPr>
      </w:pPr>
    </w:p>
    <w:p w14:paraId="41C206D8" w14:textId="06D6520C" w:rsidR="00BA250E" w:rsidRPr="00DD0034" w:rsidRDefault="00BA250E" w:rsidP="00F50679">
      <w:pPr>
        <w:rPr>
          <w:rFonts w:eastAsia="Calibri" w:cstheme="minorHAnsi"/>
          <w:sz w:val="22"/>
          <w:szCs w:val="22"/>
        </w:rPr>
      </w:pPr>
      <w:r w:rsidRPr="00DD0034">
        <w:rPr>
          <w:rFonts w:cstheme="minorHAnsi"/>
          <w:sz w:val="22"/>
          <w:szCs w:val="22"/>
          <w:shd w:val="clear" w:color="auto" w:fill="FFFFFF"/>
        </w:rPr>
        <w:t xml:space="preserve">Because young children are often missed in households that return the form, the Partnership for America’s Children is conducting message research focused on young children and will produce outreach materials such as posters and flyers that can be used to educate families about the need to include young children when they fill out the form. It is also producing webinars on counting young children and a fact sheet that will answer many questions about when and how young children should be counted, all of which can be useful for California community organizations. </w:t>
      </w:r>
    </w:p>
    <w:p w14:paraId="5CC21812" w14:textId="77777777" w:rsidR="002C788B" w:rsidRPr="00DD0034" w:rsidRDefault="002C788B" w:rsidP="0000018A">
      <w:pPr>
        <w:rPr>
          <w:rFonts w:cstheme="minorHAnsi"/>
          <w:b/>
          <w:sz w:val="22"/>
          <w:szCs w:val="22"/>
        </w:rPr>
      </w:pPr>
    </w:p>
    <w:p w14:paraId="5D6E5E3F" w14:textId="16C3AEDC" w:rsidR="007B1D59" w:rsidRPr="00DD0034" w:rsidRDefault="00380851" w:rsidP="00380851">
      <w:pPr>
        <w:jc w:val="center"/>
        <w:rPr>
          <w:rFonts w:cstheme="minorHAnsi"/>
          <w:b/>
          <w:sz w:val="22"/>
          <w:szCs w:val="22"/>
        </w:rPr>
      </w:pPr>
      <w:r w:rsidRPr="00DD0034">
        <w:rPr>
          <w:rFonts w:cstheme="minorHAnsi"/>
          <w:b/>
          <w:sz w:val="22"/>
          <w:szCs w:val="22"/>
        </w:rPr>
        <w:t>Public and Private Investments</w:t>
      </w:r>
    </w:p>
    <w:p w14:paraId="0495E70E" w14:textId="6EA10CBE" w:rsidR="00F54CED" w:rsidRPr="00DD0034" w:rsidRDefault="00F54CED" w:rsidP="0000018A">
      <w:pPr>
        <w:rPr>
          <w:rFonts w:cstheme="minorHAnsi"/>
          <w:b/>
          <w:sz w:val="22"/>
          <w:szCs w:val="22"/>
        </w:rPr>
      </w:pPr>
    </w:p>
    <w:p w14:paraId="3372C62B" w14:textId="532DDDD8" w:rsidR="00F54CED" w:rsidRPr="00DD0034" w:rsidRDefault="00F04FD7" w:rsidP="0000018A">
      <w:pPr>
        <w:rPr>
          <w:rFonts w:cstheme="minorHAnsi"/>
          <w:b/>
          <w:sz w:val="22"/>
          <w:szCs w:val="22"/>
        </w:rPr>
      </w:pPr>
      <w:r>
        <w:rPr>
          <w:rFonts w:cstheme="minorHAnsi"/>
          <w:b/>
          <w:sz w:val="22"/>
          <w:szCs w:val="22"/>
        </w:rPr>
        <w:t xml:space="preserve">Current </w:t>
      </w:r>
      <w:r w:rsidR="00F54CED" w:rsidRPr="00DD0034">
        <w:rPr>
          <w:rFonts w:cstheme="minorHAnsi"/>
          <w:b/>
          <w:sz w:val="22"/>
          <w:szCs w:val="22"/>
        </w:rPr>
        <w:t xml:space="preserve">Private Funding: </w:t>
      </w:r>
      <w:r w:rsidRPr="00DD0034">
        <w:rPr>
          <w:rFonts w:cstheme="minorHAnsi"/>
          <w:sz w:val="22"/>
          <w:szCs w:val="22"/>
        </w:rPr>
        <w:t xml:space="preserve">TBD </w:t>
      </w:r>
    </w:p>
    <w:p w14:paraId="04FECB65" w14:textId="77777777" w:rsidR="006B557C" w:rsidRPr="00DD0034" w:rsidRDefault="006B557C" w:rsidP="00557BAB">
      <w:pPr>
        <w:rPr>
          <w:rFonts w:cstheme="minorHAnsi"/>
          <w:b/>
          <w:sz w:val="22"/>
          <w:szCs w:val="22"/>
        </w:rPr>
      </w:pPr>
    </w:p>
    <w:p w14:paraId="014B6E30" w14:textId="089BC9CC" w:rsidR="006B557C" w:rsidRPr="00DD0034" w:rsidRDefault="006B557C" w:rsidP="006B557C">
      <w:pPr>
        <w:shd w:val="clear" w:color="auto" w:fill="FFFFFF"/>
        <w:rPr>
          <w:rFonts w:eastAsia="Times New Roman" w:cstheme="minorHAnsi"/>
          <w:sz w:val="22"/>
          <w:szCs w:val="22"/>
        </w:rPr>
      </w:pPr>
      <w:r w:rsidRPr="00DD0034">
        <w:rPr>
          <w:rFonts w:eastAsia="Times New Roman" w:cstheme="minorHAnsi"/>
          <w:b/>
          <w:sz w:val="22"/>
          <w:szCs w:val="22"/>
        </w:rPr>
        <w:t>Current Young Children Funders:</w:t>
      </w:r>
      <w:r w:rsidRPr="00DD0034">
        <w:rPr>
          <w:rFonts w:eastAsia="Times New Roman" w:cstheme="minorHAnsi"/>
          <w:sz w:val="22"/>
          <w:szCs w:val="22"/>
        </w:rPr>
        <w:t xml:space="preserve"> Blue Shield of California Foundation, </w:t>
      </w:r>
      <w:r w:rsidR="00F54CED" w:rsidRPr="00DD0034">
        <w:rPr>
          <w:rFonts w:eastAsia="Times New Roman" w:cstheme="minorHAnsi"/>
          <w:sz w:val="22"/>
          <w:szCs w:val="22"/>
        </w:rPr>
        <w:t xml:space="preserve">California Community Foundation, </w:t>
      </w:r>
      <w:proofErr w:type="spellStart"/>
      <w:r w:rsidRPr="00DD0034">
        <w:rPr>
          <w:rFonts w:eastAsia="Times New Roman" w:cstheme="minorHAnsi"/>
          <w:sz w:val="22"/>
          <w:szCs w:val="22"/>
        </w:rPr>
        <w:t>Heising</w:t>
      </w:r>
      <w:proofErr w:type="spellEnd"/>
      <w:r w:rsidRPr="00DD0034">
        <w:rPr>
          <w:rFonts w:eastAsia="Times New Roman" w:cstheme="minorHAnsi"/>
          <w:sz w:val="22"/>
          <w:szCs w:val="22"/>
        </w:rPr>
        <w:t xml:space="preserve">-Simons, </w:t>
      </w:r>
      <w:r w:rsidR="002D7861" w:rsidRPr="00DD0034">
        <w:rPr>
          <w:rFonts w:eastAsia="Times New Roman" w:cstheme="minorHAnsi"/>
          <w:sz w:val="22"/>
          <w:szCs w:val="22"/>
        </w:rPr>
        <w:t xml:space="preserve">LA Partnership for Early Childhood Investment, </w:t>
      </w:r>
      <w:r w:rsidRPr="00DD0034">
        <w:rPr>
          <w:rFonts w:eastAsia="Times New Roman" w:cstheme="minorHAnsi"/>
          <w:sz w:val="22"/>
          <w:szCs w:val="22"/>
        </w:rPr>
        <w:t>Packard Foundation</w:t>
      </w:r>
      <w:r w:rsidR="00F54CED" w:rsidRPr="00DD0034">
        <w:rPr>
          <w:rFonts w:eastAsia="Times New Roman" w:cstheme="minorHAnsi"/>
          <w:sz w:val="22"/>
          <w:szCs w:val="22"/>
        </w:rPr>
        <w:t>,</w:t>
      </w:r>
      <w:r w:rsidRPr="00DD0034">
        <w:rPr>
          <w:rFonts w:eastAsia="Times New Roman" w:cstheme="minorHAnsi"/>
          <w:sz w:val="22"/>
          <w:szCs w:val="22"/>
        </w:rPr>
        <w:t xml:space="preserve"> and First 5 LA </w:t>
      </w:r>
    </w:p>
    <w:p w14:paraId="6D093580" w14:textId="77777777" w:rsidR="00337604" w:rsidRPr="00DD0034" w:rsidRDefault="00337604" w:rsidP="006B557C">
      <w:pPr>
        <w:shd w:val="clear" w:color="auto" w:fill="FFFFFF"/>
        <w:rPr>
          <w:rFonts w:eastAsia="Times New Roman" w:cstheme="minorHAnsi"/>
          <w:sz w:val="22"/>
          <w:szCs w:val="22"/>
        </w:rPr>
      </w:pPr>
    </w:p>
    <w:p w14:paraId="7175DAC0" w14:textId="152C61EF" w:rsidR="004E3354" w:rsidRPr="00DD0034" w:rsidRDefault="006B557C" w:rsidP="006B557C">
      <w:pPr>
        <w:shd w:val="clear" w:color="auto" w:fill="FFFFFF"/>
        <w:rPr>
          <w:rFonts w:cstheme="minorHAnsi"/>
          <w:b/>
          <w:sz w:val="22"/>
          <w:szCs w:val="22"/>
        </w:rPr>
      </w:pPr>
      <w:r w:rsidRPr="00DD0034">
        <w:rPr>
          <w:rFonts w:eastAsia="Times New Roman" w:cstheme="minorHAnsi"/>
          <w:b/>
          <w:sz w:val="22"/>
          <w:szCs w:val="22"/>
        </w:rPr>
        <w:t>Current Grantees:</w:t>
      </w:r>
      <w:r w:rsidRPr="00DD0034">
        <w:rPr>
          <w:rFonts w:eastAsia="Times New Roman" w:cstheme="minorHAnsi"/>
          <w:sz w:val="22"/>
          <w:szCs w:val="22"/>
        </w:rPr>
        <w:t xml:space="preserve"> Partnership for America’s Children, First 5 Association, and NALEO </w:t>
      </w:r>
    </w:p>
    <w:p w14:paraId="1431FDE2" w14:textId="77777777" w:rsidR="00337604" w:rsidRPr="00DD0034" w:rsidRDefault="00337604" w:rsidP="005E6397">
      <w:pPr>
        <w:shd w:val="clear" w:color="auto" w:fill="FFFFFF"/>
        <w:rPr>
          <w:rFonts w:cstheme="minorHAnsi"/>
          <w:b/>
          <w:sz w:val="22"/>
          <w:szCs w:val="22"/>
        </w:rPr>
      </w:pPr>
    </w:p>
    <w:p w14:paraId="1014871A" w14:textId="77488089" w:rsidR="004E3354" w:rsidRPr="00DD0034" w:rsidRDefault="004E3354" w:rsidP="005E6397">
      <w:pPr>
        <w:shd w:val="clear" w:color="auto" w:fill="FFFFFF"/>
        <w:rPr>
          <w:rFonts w:cstheme="minorHAnsi"/>
          <w:b/>
          <w:sz w:val="22"/>
          <w:szCs w:val="22"/>
        </w:rPr>
      </w:pPr>
      <w:r w:rsidRPr="00DD0034">
        <w:rPr>
          <w:rFonts w:cstheme="minorHAnsi"/>
          <w:b/>
          <w:sz w:val="22"/>
          <w:szCs w:val="22"/>
        </w:rPr>
        <w:t xml:space="preserve">Public Dollars: </w:t>
      </w:r>
      <w:r w:rsidR="00A9400D" w:rsidRPr="00DD0034">
        <w:rPr>
          <w:rFonts w:cstheme="minorHAnsi"/>
          <w:b/>
          <w:sz w:val="22"/>
          <w:szCs w:val="22"/>
        </w:rPr>
        <w:t xml:space="preserve"> </w:t>
      </w:r>
      <w:r w:rsidR="005E607C" w:rsidRPr="00DD0034">
        <w:rPr>
          <w:rFonts w:cstheme="minorHAnsi"/>
          <w:b/>
          <w:sz w:val="22"/>
          <w:szCs w:val="22"/>
          <w:highlight w:val="yellow"/>
        </w:rPr>
        <w:t>waiting to hear from the state for more updated information.</w:t>
      </w:r>
      <w:r w:rsidR="005E607C" w:rsidRPr="00DD0034">
        <w:rPr>
          <w:rFonts w:cstheme="minorHAnsi"/>
          <w:b/>
          <w:sz w:val="22"/>
          <w:szCs w:val="22"/>
        </w:rPr>
        <w:t xml:space="preserve"> </w:t>
      </w:r>
    </w:p>
    <w:p w14:paraId="029E0D91" w14:textId="55C34A69" w:rsidR="00EF6750" w:rsidRPr="00DD0034" w:rsidRDefault="00EF6750" w:rsidP="005E6397">
      <w:pPr>
        <w:rPr>
          <w:rFonts w:cstheme="minorHAnsi"/>
          <w:b/>
          <w:sz w:val="22"/>
          <w:szCs w:val="22"/>
        </w:rPr>
      </w:pPr>
    </w:p>
    <w:p w14:paraId="400A78E2" w14:textId="1A312923" w:rsidR="00A9400D" w:rsidRPr="00DD0034" w:rsidRDefault="00A9400D" w:rsidP="005E6397">
      <w:pPr>
        <w:rPr>
          <w:rFonts w:cstheme="minorHAnsi"/>
          <w:b/>
          <w:sz w:val="22"/>
          <w:szCs w:val="22"/>
        </w:rPr>
      </w:pPr>
      <w:r w:rsidRPr="00DD0034">
        <w:rPr>
          <w:rFonts w:cstheme="minorHAnsi"/>
          <w:sz w:val="22"/>
          <w:szCs w:val="22"/>
        </w:rPr>
        <w:t xml:space="preserve">Part of the </w:t>
      </w:r>
      <w:r w:rsidR="004F6404" w:rsidRPr="00DD0034">
        <w:rPr>
          <w:rFonts w:cstheme="minorHAnsi"/>
          <w:sz w:val="22"/>
          <w:szCs w:val="22"/>
        </w:rPr>
        <w:t xml:space="preserve">California </w:t>
      </w:r>
      <w:r w:rsidRPr="00DD0034">
        <w:rPr>
          <w:rFonts w:cstheme="minorHAnsi"/>
          <w:sz w:val="22"/>
          <w:szCs w:val="22"/>
        </w:rPr>
        <w:t xml:space="preserve">Census Office’s outreach strategy is to engage K-12 students, teachers, and parents to provide information about the importance of the Census. The Census Office is utilizing the data from Title I schools and Title III students to target hard-to-reach students. Title I </w:t>
      </w:r>
      <w:proofErr w:type="gramStart"/>
      <w:r w:rsidRPr="00DD0034">
        <w:rPr>
          <w:rFonts w:cstheme="minorHAnsi"/>
          <w:sz w:val="22"/>
          <w:szCs w:val="22"/>
        </w:rPr>
        <w:t>is</w:t>
      </w:r>
      <w:proofErr w:type="gramEnd"/>
      <w:r w:rsidRPr="00DD0034">
        <w:rPr>
          <w:rFonts w:cstheme="minorHAnsi"/>
          <w:sz w:val="22"/>
          <w:szCs w:val="22"/>
        </w:rPr>
        <w:t xml:space="preserve"> a federal program for children who live in high concentrations of poverty and Title III is a program for English-language learners that serves mostly immigrant children.</w:t>
      </w:r>
    </w:p>
    <w:p w14:paraId="044EECB3" w14:textId="77777777" w:rsidR="00EF6750" w:rsidRPr="00DD0034" w:rsidRDefault="00EF6750" w:rsidP="006B557C">
      <w:pPr>
        <w:jc w:val="center"/>
        <w:rPr>
          <w:rFonts w:cstheme="minorHAnsi"/>
          <w:b/>
          <w:sz w:val="22"/>
          <w:szCs w:val="22"/>
        </w:rPr>
      </w:pPr>
    </w:p>
    <w:p w14:paraId="6EB56F1E" w14:textId="77777777" w:rsidR="00380851" w:rsidRPr="00DD0034" w:rsidRDefault="00380851">
      <w:pPr>
        <w:rPr>
          <w:rFonts w:cstheme="minorHAnsi"/>
          <w:b/>
          <w:sz w:val="22"/>
          <w:szCs w:val="22"/>
        </w:rPr>
      </w:pPr>
      <w:r w:rsidRPr="00DD0034">
        <w:rPr>
          <w:rFonts w:cstheme="minorHAnsi"/>
          <w:b/>
          <w:sz w:val="22"/>
          <w:szCs w:val="22"/>
        </w:rPr>
        <w:br w:type="page"/>
      </w:r>
    </w:p>
    <w:p w14:paraId="2863D37F" w14:textId="2A88B78A" w:rsidR="006B557C" w:rsidRPr="00DD0034" w:rsidRDefault="00D12F7E" w:rsidP="00E21502">
      <w:pPr>
        <w:spacing w:after="240"/>
        <w:jc w:val="center"/>
        <w:rPr>
          <w:rFonts w:cstheme="minorHAnsi"/>
          <w:b/>
          <w:sz w:val="22"/>
          <w:szCs w:val="22"/>
        </w:rPr>
      </w:pPr>
      <w:r w:rsidRPr="00DD0034">
        <w:rPr>
          <w:rFonts w:cstheme="minorHAnsi"/>
          <w:b/>
          <w:sz w:val="22"/>
          <w:szCs w:val="22"/>
        </w:rPr>
        <w:lastRenderedPageBreak/>
        <w:t xml:space="preserve">Recommended Strategies </w:t>
      </w:r>
      <w:r w:rsidR="006B557C" w:rsidRPr="00DD0034">
        <w:rPr>
          <w:rFonts w:cstheme="minorHAnsi"/>
          <w:b/>
          <w:sz w:val="22"/>
          <w:szCs w:val="22"/>
        </w:rPr>
        <w:t xml:space="preserve">for </w:t>
      </w:r>
      <w:r w:rsidRPr="00DD0034">
        <w:rPr>
          <w:rFonts w:cstheme="minorHAnsi"/>
          <w:b/>
          <w:sz w:val="22"/>
          <w:szCs w:val="22"/>
        </w:rPr>
        <w:t xml:space="preserve">2020 Census </w:t>
      </w:r>
    </w:p>
    <w:p w14:paraId="4953F5D7" w14:textId="782670F0" w:rsidR="00D12F7E" w:rsidRPr="00DD0034" w:rsidRDefault="00D12F7E" w:rsidP="006A5B26">
      <w:pPr>
        <w:pStyle w:val="ListParagraph"/>
        <w:numPr>
          <w:ilvl w:val="0"/>
          <w:numId w:val="29"/>
        </w:numPr>
        <w:spacing w:after="240"/>
        <w:rPr>
          <w:rFonts w:cstheme="minorHAnsi"/>
          <w:b/>
          <w:sz w:val="22"/>
          <w:szCs w:val="22"/>
        </w:rPr>
      </w:pPr>
      <w:r w:rsidRPr="00DD0034">
        <w:rPr>
          <w:rFonts w:cstheme="minorHAnsi"/>
          <w:b/>
          <w:sz w:val="22"/>
          <w:szCs w:val="22"/>
        </w:rPr>
        <w:t xml:space="preserve">Education and Awareness Building </w:t>
      </w:r>
    </w:p>
    <w:p w14:paraId="512AD12E" w14:textId="77777777" w:rsidR="00D12F7E" w:rsidRPr="00DD0034" w:rsidRDefault="00557BAB" w:rsidP="00D12F7E">
      <w:pPr>
        <w:pStyle w:val="ListParagraph"/>
        <w:numPr>
          <w:ilvl w:val="0"/>
          <w:numId w:val="31"/>
        </w:numPr>
        <w:spacing w:after="240"/>
        <w:rPr>
          <w:rFonts w:cstheme="minorHAnsi"/>
          <w:sz w:val="22"/>
          <w:szCs w:val="22"/>
        </w:rPr>
      </w:pPr>
      <w:r w:rsidRPr="00DD0034">
        <w:rPr>
          <w:rFonts w:cstheme="minorHAnsi"/>
          <w:b/>
          <w:i/>
          <w:sz w:val="22"/>
          <w:szCs w:val="22"/>
        </w:rPr>
        <w:t>Fund education and training for children serving organizations</w:t>
      </w:r>
      <w:r w:rsidR="00762B47" w:rsidRPr="00DD0034">
        <w:rPr>
          <w:rFonts w:cstheme="minorHAnsi"/>
          <w:b/>
          <w:sz w:val="22"/>
          <w:szCs w:val="22"/>
        </w:rPr>
        <w:t xml:space="preserve"> </w:t>
      </w:r>
      <w:r w:rsidR="00762B47" w:rsidRPr="00DD0034">
        <w:rPr>
          <w:rFonts w:cstheme="minorHAnsi"/>
          <w:sz w:val="22"/>
          <w:szCs w:val="22"/>
        </w:rPr>
        <w:t>to leverage their connection with families and young children</w:t>
      </w:r>
      <w:r w:rsidRPr="00DD0034">
        <w:rPr>
          <w:rFonts w:cstheme="minorHAnsi"/>
          <w:b/>
          <w:sz w:val="22"/>
          <w:szCs w:val="22"/>
        </w:rPr>
        <w:t xml:space="preserve">. </w:t>
      </w:r>
      <w:r w:rsidRPr="00DD0034">
        <w:rPr>
          <w:rFonts w:cstheme="minorHAnsi"/>
          <w:sz w:val="22"/>
          <w:szCs w:val="22"/>
        </w:rPr>
        <w:t>Ensur</w:t>
      </w:r>
      <w:r w:rsidR="00560B35" w:rsidRPr="00DD0034">
        <w:rPr>
          <w:rFonts w:cstheme="minorHAnsi"/>
          <w:sz w:val="22"/>
          <w:szCs w:val="22"/>
        </w:rPr>
        <w:t>e</w:t>
      </w:r>
      <w:r w:rsidRPr="00DD0034">
        <w:rPr>
          <w:rFonts w:cstheme="minorHAnsi"/>
          <w:sz w:val="22"/>
          <w:szCs w:val="22"/>
        </w:rPr>
        <w:t xml:space="preserve"> that they have the information and tools to support the count of young children in the 2020 Census</w:t>
      </w:r>
      <w:r w:rsidR="00C25B68" w:rsidRPr="00DD0034">
        <w:rPr>
          <w:rFonts w:cstheme="minorHAnsi"/>
          <w:sz w:val="22"/>
          <w:szCs w:val="22"/>
        </w:rPr>
        <w:t xml:space="preserve"> that are being developed by the Partnership for America’s Children and the Count All Kids Campaign.</w:t>
      </w:r>
      <w:r w:rsidRPr="00DD0034">
        <w:rPr>
          <w:rFonts w:cstheme="minorHAnsi"/>
          <w:b/>
          <w:sz w:val="22"/>
          <w:szCs w:val="22"/>
        </w:rPr>
        <w:t xml:space="preserve"> </w:t>
      </w:r>
      <w:r w:rsidR="00FB6792" w:rsidRPr="00DD0034">
        <w:rPr>
          <w:rFonts w:cstheme="minorHAnsi"/>
          <w:b/>
          <w:sz w:val="22"/>
          <w:szCs w:val="22"/>
        </w:rPr>
        <w:t>Examples</w:t>
      </w:r>
      <w:r w:rsidR="00FB6792" w:rsidRPr="00DD0034">
        <w:rPr>
          <w:rFonts w:cstheme="minorHAnsi"/>
          <w:sz w:val="22"/>
          <w:szCs w:val="22"/>
        </w:rPr>
        <w:t xml:space="preserve">: Health </w:t>
      </w:r>
      <w:r w:rsidR="00F30798" w:rsidRPr="00DD0034">
        <w:rPr>
          <w:rFonts w:cstheme="minorHAnsi"/>
          <w:sz w:val="22"/>
          <w:szCs w:val="22"/>
        </w:rPr>
        <w:t xml:space="preserve">Community </w:t>
      </w:r>
      <w:r w:rsidR="00FB6792" w:rsidRPr="00DD0034">
        <w:rPr>
          <w:rFonts w:cstheme="minorHAnsi"/>
          <w:sz w:val="22"/>
          <w:szCs w:val="22"/>
        </w:rPr>
        <w:t xml:space="preserve">Clinics, </w:t>
      </w:r>
      <w:r w:rsidR="00337604" w:rsidRPr="00DD0034">
        <w:rPr>
          <w:rFonts w:cstheme="minorHAnsi"/>
          <w:sz w:val="22"/>
          <w:szCs w:val="22"/>
        </w:rPr>
        <w:t xml:space="preserve">Early Childhood programs, Preschool Programs, </w:t>
      </w:r>
      <w:r w:rsidR="00560B35" w:rsidRPr="00DD0034">
        <w:rPr>
          <w:rFonts w:cstheme="minorHAnsi"/>
          <w:sz w:val="22"/>
          <w:szCs w:val="22"/>
        </w:rPr>
        <w:t>public schools.</w:t>
      </w:r>
    </w:p>
    <w:p w14:paraId="1202D08B" w14:textId="77777777" w:rsidR="00D12F7E" w:rsidRPr="00DD0034" w:rsidRDefault="00D12F7E" w:rsidP="00D12F7E">
      <w:pPr>
        <w:pStyle w:val="ListParagraph"/>
        <w:numPr>
          <w:ilvl w:val="0"/>
          <w:numId w:val="31"/>
        </w:numPr>
        <w:spacing w:after="240"/>
        <w:rPr>
          <w:rFonts w:cstheme="minorHAnsi"/>
          <w:sz w:val="22"/>
          <w:szCs w:val="22"/>
        </w:rPr>
      </w:pPr>
      <w:r w:rsidRPr="00DD0034">
        <w:rPr>
          <w:rFonts w:eastAsia="Times New Roman" w:cstheme="minorHAnsi"/>
          <w:b/>
          <w:sz w:val="22"/>
          <w:szCs w:val="22"/>
        </w:rPr>
        <w:t>Fund a series of webinars</w:t>
      </w:r>
      <w:r w:rsidRPr="00DD0034">
        <w:rPr>
          <w:rFonts w:eastAsia="Times New Roman" w:cstheme="minorHAnsi"/>
          <w:sz w:val="22"/>
          <w:szCs w:val="22"/>
        </w:rPr>
        <w:t xml:space="preserve"> educate CBOs on why it’s important to target outreach to families with young children.</w:t>
      </w:r>
    </w:p>
    <w:p w14:paraId="2D21943C" w14:textId="11073040" w:rsidR="00D12F7E" w:rsidRPr="00DD0034" w:rsidRDefault="00D12F7E" w:rsidP="00D12F7E">
      <w:pPr>
        <w:pStyle w:val="ListParagraph"/>
        <w:numPr>
          <w:ilvl w:val="0"/>
          <w:numId w:val="31"/>
        </w:numPr>
        <w:spacing w:after="240"/>
        <w:rPr>
          <w:rFonts w:cstheme="minorHAnsi"/>
          <w:sz w:val="22"/>
          <w:szCs w:val="22"/>
        </w:rPr>
      </w:pPr>
      <w:r w:rsidRPr="00DD0034">
        <w:rPr>
          <w:rFonts w:eastAsia="Times New Roman" w:cstheme="minorHAnsi"/>
          <w:sz w:val="22"/>
          <w:szCs w:val="22"/>
        </w:rPr>
        <w:t xml:space="preserve">Look for opportunities to </w:t>
      </w:r>
      <w:r w:rsidRPr="00DD0034">
        <w:rPr>
          <w:rFonts w:eastAsia="Times New Roman" w:cstheme="minorHAnsi"/>
          <w:b/>
          <w:sz w:val="22"/>
          <w:szCs w:val="22"/>
        </w:rPr>
        <w:t>fund diverse media</w:t>
      </w:r>
      <w:r w:rsidRPr="00DD0034">
        <w:rPr>
          <w:rFonts w:eastAsia="Times New Roman" w:cstheme="minorHAnsi"/>
          <w:sz w:val="22"/>
          <w:szCs w:val="22"/>
        </w:rPr>
        <w:t xml:space="preserve"> that can target different communities, with a focus on media that young parents and other families with young children use, including parenting blogs and newsletters.  </w:t>
      </w:r>
    </w:p>
    <w:p w14:paraId="33D080B0" w14:textId="59F5F569" w:rsidR="002F40F8" w:rsidRPr="00DD0034" w:rsidRDefault="00990ECB" w:rsidP="00D12F7E">
      <w:pPr>
        <w:pStyle w:val="ListParagraph"/>
        <w:numPr>
          <w:ilvl w:val="0"/>
          <w:numId w:val="31"/>
        </w:numPr>
        <w:spacing w:after="240"/>
        <w:rPr>
          <w:rFonts w:cstheme="minorHAnsi"/>
          <w:sz w:val="22"/>
          <w:szCs w:val="22"/>
        </w:rPr>
      </w:pPr>
      <w:r w:rsidRPr="00DD0034">
        <w:rPr>
          <w:rFonts w:cstheme="minorHAnsi"/>
          <w:b/>
          <w:sz w:val="22"/>
          <w:szCs w:val="22"/>
        </w:rPr>
        <w:t>Leverage the First 5 Network across California</w:t>
      </w:r>
      <w:r w:rsidRPr="00DD0034">
        <w:rPr>
          <w:rFonts w:cstheme="minorHAnsi"/>
          <w:sz w:val="22"/>
          <w:szCs w:val="22"/>
        </w:rPr>
        <w:t xml:space="preserve">. </w:t>
      </w:r>
      <w:r w:rsidR="00CC6908" w:rsidRPr="00DD0034">
        <w:rPr>
          <w:rFonts w:cstheme="minorHAnsi"/>
          <w:sz w:val="22"/>
          <w:szCs w:val="22"/>
        </w:rPr>
        <w:t>The First 5 Association is kicking off “Every Child Counted” convenings with the goals to develop regional 0-5 Census 2020 Outreach Plans in all six First 5 Regions across the state to ensure every child is counted in the 2020 Census.</w:t>
      </w:r>
    </w:p>
    <w:p w14:paraId="7934AF61" w14:textId="77777777" w:rsidR="00337604" w:rsidRPr="00DD0034" w:rsidRDefault="00337604" w:rsidP="00DD0034">
      <w:pPr>
        <w:pStyle w:val="ListParagraph"/>
        <w:spacing w:after="240"/>
        <w:ind w:left="1800"/>
        <w:rPr>
          <w:rFonts w:cstheme="minorHAnsi"/>
          <w:sz w:val="22"/>
          <w:szCs w:val="22"/>
        </w:rPr>
      </w:pPr>
    </w:p>
    <w:p w14:paraId="1EA4BB5A" w14:textId="77777777" w:rsidR="00DD0034" w:rsidRPr="00DD0034" w:rsidRDefault="00D12F7E" w:rsidP="00DD0034">
      <w:pPr>
        <w:pStyle w:val="ListParagraph"/>
        <w:numPr>
          <w:ilvl w:val="0"/>
          <w:numId w:val="29"/>
        </w:numPr>
        <w:spacing w:after="240"/>
        <w:rPr>
          <w:rFonts w:cstheme="minorHAnsi"/>
          <w:sz w:val="22"/>
          <w:szCs w:val="22"/>
        </w:rPr>
      </w:pPr>
      <w:r w:rsidRPr="00DD0034">
        <w:rPr>
          <w:rFonts w:eastAsia="Times New Roman" w:cstheme="minorHAnsi"/>
          <w:b/>
          <w:sz w:val="22"/>
          <w:szCs w:val="22"/>
        </w:rPr>
        <w:t>Message and Tool Development and Testing</w:t>
      </w:r>
      <w:r w:rsidR="00300B6E" w:rsidRPr="00DD0034">
        <w:rPr>
          <w:rFonts w:eastAsia="Times New Roman" w:cstheme="minorHAnsi"/>
          <w:b/>
          <w:sz w:val="22"/>
          <w:szCs w:val="22"/>
        </w:rPr>
        <w:t xml:space="preserve"> Focusing on Young Children</w:t>
      </w:r>
      <w:r w:rsidR="00E21502" w:rsidRPr="00DD0034">
        <w:rPr>
          <w:rFonts w:eastAsia="Times New Roman" w:cstheme="minorHAnsi"/>
          <w:b/>
          <w:sz w:val="22"/>
          <w:szCs w:val="22"/>
        </w:rPr>
        <w:t xml:space="preserve"> </w:t>
      </w:r>
    </w:p>
    <w:p w14:paraId="3794EBE6" w14:textId="77777777" w:rsidR="00DD0034" w:rsidRPr="00DD0034" w:rsidRDefault="00FB6792" w:rsidP="00DD0034">
      <w:pPr>
        <w:pStyle w:val="ListParagraph"/>
        <w:numPr>
          <w:ilvl w:val="1"/>
          <w:numId w:val="29"/>
        </w:numPr>
        <w:spacing w:after="240"/>
        <w:rPr>
          <w:rFonts w:cstheme="minorHAnsi"/>
          <w:sz w:val="22"/>
          <w:szCs w:val="22"/>
        </w:rPr>
      </w:pPr>
      <w:r w:rsidRPr="00DD0034">
        <w:rPr>
          <w:rFonts w:eastAsia="Times New Roman" w:cstheme="minorHAnsi"/>
          <w:sz w:val="22"/>
          <w:szCs w:val="22"/>
        </w:rPr>
        <w:t>Produce or contribute to the p</w:t>
      </w:r>
      <w:r w:rsidR="00300B6E" w:rsidRPr="00DD0034">
        <w:rPr>
          <w:rFonts w:eastAsia="Times New Roman" w:cstheme="minorHAnsi"/>
          <w:sz w:val="22"/>
          <w:szCs w:val="22"/>
        </w:rPr>
        <w:t>roduction of education materials in multiple languages</w:t>
      </w:r>
      <w:r w:rsidR="00BA250E" w:rsidRPr="00DD0034">
        <w:rPr>
          <w:rFonts w:eastAsia="Times New Roman" w:cstheme="minorHAnsi"/>
          <w:sz w:val="22"/>
          <w:szCs w:val="22"/>
        </w:rPr>
        <w:t>, including printing materials for CBOs to distribute</w:t>
      </w:r>
    </w:p>
    <w:p w14:paraId="32ABDA6F" w14:textId="77777777" w:rsidR="00DD0034" w:rsidRPr="00DD0034" w:rsidRDefault="00FB6792" w:rsidP="00DD0034">
      <w:pPr>
        <w:pStyle w:val="ListParagraph"/>
        <w:numPr>
          <w:ilvl w:val="1"/>
          <w:numId w:val="29"/>
        </w:numPr>
        <w:spacing w:after="240"/>
        <w:rPr>
          <w:rFonts w:cstheme="minorHAnsi"/>
          <w:sz w:val="22"/>
          <w:szCs w:val="22"/>
        </w:rPr>
      </w:pPr>
      <w:r w:rsidRPr="00DD0034">
        <w:rPr>
          <w:rFonts w:eastAsia="Times New Roman" w:cstheme="minorHAnsi"/>
          <w:sz w:val="22"/>
          <w:szCs w:val="22"/>
        </w:rPr>
        <w:t xml:space="preserve">Support the dissemination of </w:t>
      </w:r>
      <w:r w:rsidR="00EF6750" w:rsidRPr="00DD0034">
        <w:rPr>
          <w:rFonts w:eastAsia="Times New Roman" w:cstheme="minorHAnsi"/>
          <w:sz w:val="22"/>
          <w:szCs w:val="22"/>
        </w:rPr>
        <w:t xml:space="preserve">education and GOTC materials </w:t>
      </w:r>
      <w:r w:rsidRPr="00DD0034">
        <w:rPr>
          <w:rFonts w:eastAsia="Times New Roman" w:cstheme="minorHAnsi"/>
          <w:sz w:val="22"/>
          <w:szCs w:val="22"/>
        </w:rPr>
        <w:t xml:space="preserve"> </w:t>
      </w:r>
    </w:p>
    <w:p w14:paraId="090A4DD4" w14:textId="1F9F05BD" w:rsidR="00560B35" w:rsidRPr="00DD0034" w:rsidRDefault="00560B35" w:rsidP="00DD0034">
      <w:pPr>
        <w:pStyle w:val="ListParagraph"/>
        <w:numPr>
          <w:ilvl w:val="1"/>
          <w:numId w:val="29"/>
        </w:numPr>
        <w:spacing w:after="240"/>
        <w:rPr>
          <w:rFonts w:cstheme="minorHAnsi"/>
          <w:sz w:val="22"/>
          <w:szCs w:val="22"/>
        </w:rPr>
      </w:pPr>
      <w:r w:rsidRPr="00DD0034">
        <w:rPr>
          <w:rFonts w:cstheme="minorHAnsi"/>
          <w:sz w:val="22"/>
          <w:szCs w:val="22"/>
        </w:rPr>
        <w:t>If you fund focus groups in various languages, test different word choices for who lives in the household to see which is most inclusive</w:t>
      </w:r>
    </w:p>
    <w:p w14:paraId="1AFF7C08" w14:textId="77777777" w:rsidR="00CA0713" w:rsidRPr="00DD0034" w:rsidRDefault="00CA0713" w:rsidP="00DD0034">
      <w:pPr>
        <w:pStyle w:val="ListParagraph"/>
        <w:spacing w:after="240"/>
        <w:ind w:left="1440"/>
        <w:rPr>
          <w:rFonts w:cstheme="minorHAnsi"/>
          <w:sz w:val="22"/>
          <w:szCs w:val="22"/>
        </w:rPr>
      </w:pPr>
    </w:p>
    <w:p w14:paraId="3BEEEC23" w14:textId="77777777" w:rsidR="00DD0034" w:rsidRDefault="00CA0713" w:rsidP="00DD0034">
      <w:pPr>
        <w:pStyle w:val="ListParagraph"/>
        <w:numPr>
          <w:ilvl w:val="0"/>
          <w:numId w:val="29"/>
        </w:numPr>
        <w:spacing w:after="240"/>
        <w:rPr>
          <w:rFonts w:cstheme="minorHAnsi"/>
          <w:b/>
          <w:sz w:val="22"/>
          <w:szCs w:val="22"/>
        </w:rPr>
      </w:pPr>
      <w:r w:rsidRPr="00DD0034">
        <w:rPr>
          <w:rFonts w:cstheme="minorHAnsi"/>
          <w:b/>
          <w:sz w:val="22"/>
          <w:szCs w:val="22"/>
        </w:rPr>
        <w:t>Partnering with Regional Anchor Organizations and CBOs with Trusted Relationships in the Community</w:t>
      </w:r>
    </w:p>
    <w:p w14:paraId="044C74AD" w14:textId="6BDA9765" w:rsidR="00957CCA" w:rsidRPr="00DD0034" w:rsidRDefault="00957CCA" w:rsidP="00DD0034">
      <w:pPr>
        <w:pStyle w:val="ListParagraph"/>
        <w:numPr>
          <w:ilvl w:val="1"/>
          <w:numId w:val="29"/>
        </w:numPr>
        <w:spacing w:after="240"/>
        <w:rPr>
          <w:rFonts w:cstheme="minorHAnsi"/>
          <w:b/>
          <w:sz w:val="22"/>
          <w:szCs w:val="22"/>
        </w:rPr>
      </w:pPr>
      <w:r w:rsidRPr="00DD0034">
        <w:rPr>
          <w:rFonts w:eastAsia="Times New Roman" w:cstheme="minorHAnsi"/>
          <w:sz w:val="22"/>
          <w:szCs w:val="22"/>
        </w:rPr>
        <w:t>Identify trusted messengers with direct connection to families and young children</w:t>
      </w:r>
    </w:p>
    <w:p w14:paraId="0C3A48E8" w14:textId="77777777" w:rsidR="00F54CED" w:rsidRPr="00DD0034" w:rsidRDefault="00F54CED" w:rsidP="00DD0034">
      <w:pPr>
        <w:spacing w:after="240"/>
        <w:rPr>
          <w:rFonts w:cstheme="minorHAnsi"/>
          <w:sz w:val="22"/>
          <w:szCs w:val="22"/>
        </w:rPr>
      </w:pPr>
    </w:p>
    <w:p w14:paraId="36906A2C" w14:textId="370384D1" w:rsidR="00024CEF" w:rsidRDefault="00CA0713" w:rsidP="00DD0034">
      <w:pPr>
        <w:jc w:val="center"/>
        <w:rPr>
          <w:rFonts w:cstheme="minorHAnsi"/>
          <w:b/>
          <w:sz w:val="22"/>
          <w:szCs w:val="22"/>
        </w:rPr>
      </w:pPr>
      <w:r w:rsidRPr="00DD0034">
        <w:rPr>
          <w:rFonts w:cstheme="minorHAnsi"/>
          <w:b/>
          <w:sz w:val="22"/>
          <w:szCs w:val="22"/>
        </w:rPr>
        <w:t>Tactics</w:t>
      </w:r>
    </w:p>
    <w:p w14:paraId="1D0B15BA" w14:textId="77777777" w:rsidR="00DD0034" w:rsidRPr="00DD0034" w:rsidRDefault="00DD0034" w:rsidP="00DD0034">
      <w:pPr>
        <w:jc w:val="center"/>
        <w:rPr>
          <w:rFonts w:cstheme="minorHAnsi"/>
          <w:sz w:val="22"/>
          <w:szCs w:val="22"/>
        </w:rPr>
      </w:pPr>
      <w:bookmarkStart w:id="0" w:name="_GoBack"/>
      <w:bookmarkEnd w:id="0"/>
    </w:p>
    <w:p w14:paraId="603D64FD" w14:textId="7DCC774E" w:rsidR="00F50679" w:rsidRPr="00DD0034" w:rsidRDefault="00762B47" w:rsidP="00DD0034">
      <w:pPr>
        <w:pStyle w:val="ListParagraph"/>
        <w:numPr>
          <w:ilvl w:val="0"/>
          <w:numId w:val="33"/>
        </w:numPr>
        <w:spacing w:after="240"/>
        <w:rPr>
          <w:rFonts w:cstheme="minorHAnsi"/>
          <w:sz w:val="22"/>
          <w:szCs w:val="22"/>
        </w:rPr>
      </w:pPr>
      <w:r w:rsidRPr="00DD0034">
        <w:rPr>
          <w:rFonts w:eastAsia="Times New Roman" w:cstheme="minorHAnsi"/>
          <w:b/>
          <w:sz w:val="22"/>
          <w:szCs w:val="22"/>
        </w:rPr>
        <w:t>Create or contribute to a rapid response fund.</w:t>
      </w:r>
      <w:r w:rsidR="00557BAB" w:rsidRPr="00DD0034">
        <w:rPr>
          <w:rFonts w:eastAsia="Times New Roman" w:cstheme="minorHAnsi"/>
          <w:sz w:val="22"/>
          <w:szCs w:val="22"/>
        </w:rPr>
        <w:t xml:space="preserve"> </w:t>
      </w:r>
      <w:r w:rsidR="00300B6E" w:rsidRPr="00DD0034">
        <w:rPr>
          <w:rFonts w:eastAsia="Times New Roman" w:cstheme="minorHAnsi"/>
          <w:sz w:val="22"/>
          <w:szCs w:val="22"/>
        </w:rPr>
        <w:t>Set aside additional funding that is highly-flexible</w:t>
      </w:r>
      <w:r w:rsidR="00557BAB" w:rsidRPr="00DD0034">
        <w:rPr>
          <w:rFonts w:eastAsia="Times New Roman" w:cstheme="minorHAnsi"/>
          <w:sz w:val="22"/>
          <w:szCs w:val="22"/>
        </w:rPr>
        <w:t xml:space="preserve"> and easily accessible</w:t>
      </w:r>
      <w:r w:rsidR="00300B6E" w:rsidRPr="00DD0034">
        <w:rPr>
          <w:rFonts w:eastAsia="Times New Roman" w:cstheme="minorHAnsi"/>
          <w:sz w:val="22"/>
          <w:szCs w:val="22"/>
        </w:rPr>
        <w:t xml:space="preserve"> to address low response rates during the census yea</w:t>
      </w:r>
      <w:r w:rsidR="00557BAB" w:rsidRPr="00DD0034">
        <w:rPr>
          <w:rFonts w:eastAsia="Times New Roman" w:cstheme="minorHAnsi"/>
          <w:sz w:val="22"/>
          <w:szCs w:val="22"/>
        </w:rPr>
        <w:t>r</w:t>
      </w:r>
      <w:r w:rsidR="00BA250E" w:rsidRPr="00DD0034">
        <w:rPr>
          <w:rFonts w:eastAsia="Times New Roman" w:cstheme="minorHAnsi"/>
          <w:sz w:val="22"/>
          <w:szCs w:val="22"/>
        </w:rPr>
        <w:t>, particularly from March through June</w:t>
      </w:r>
      <w:r w:rsidR="00557BAB" w:rsidRPr="00DD0034">
        <w:rPr>
          <w:rFonts w:eastAsia="Times New Roman" w:cstheme="minorHAnsi"/>
          <w:sz w:val="22"/>
          <w:szCs w:val="22"/>
        </w:rPr>
        <w:t>.</w:t>
      </w:r>
      <w:r w:rsidRPr="00DD0034">
        <w:rPr>
          <w:rFonts w:eastAsia="Times New Roman" w:cstheme="minorHAnsi"/>
          <w:sz w:val="22"/>
          <w:szCs w:val="22"/>
        </w:rPr>
        <w:t xml:space="preserve"> </w:t>
      </w:r>
      <w:r w:rsidR="003247B9" w:rsidRPr="00DD0034">
        <w:rPr>
          <w:rFonts w:eastAsia="Times New Roman" w:cstheme="minorHAnsi"/>
          <w:sz w:val="22"/>
          <w:szCs w:val="22"/>
        </w:rPr>
        <w:t xml:space="preserve"> </w:t>
      </w:r>
    </w:p>
    <w:p w14:paraId="2E582949" w14:textId="77777777" w:rsidR="00F50679" w:rsidRPr="00DD0034" w:rsidRDefault="00F50679" w:rsidP="00F50679">
      <w:pPr>
        <w:pStyle w:val="ListParagraph"/>
        <w:rPr>
          <w:rFonts w:eastAsia="Calibri" w:cstheme="minorHAnsi"/>
          <w:sz w:val="22"/>
          <w:szCs w:val="22"/>
        </w:rPr>
      </w:pPr>
    </w:p>
    <w:p w14:paraId="05870CA1" w14:textId="0A27419E" w:rsidR="00766783" w:rsidRPr="00DD0034" w:rsidRDefault="00F50679" w:rsidP="00DD0034">
      <w:pPr>
        <w:spacing w:after="240"/>
        <w:ind w:left="720"/>
        <w:rPr>
          <w:rFonts w:cstheme="minorHAnsi"/>
          <w:sz w:val="22"/>
          <w:szCs w:val="22"/>
        </w:rPr>
      </w:pPr>
      <w:bookmarkStart w:id="1" w:name="_Hlk3955747"/>
      <w:r w:rsidRPr="00DD0034">
        <w:rPr>
          <w:rFonts w:eastAsia="Calibri" w:cstheme="minorHAnsi"/>
          <w:sz w:val="22"/>
          <w:szCs w:val="22"/>
        </w:rPr>
        <w:t>T</w:t>
      </w:r>
      <w:r w:rsidR="005E6397" w:rsidRPr="00DD0034">
        <w:rPr>
          <w:rFonts w:eastAsia="Calibri" w:cstheme="minorHAnsi"/>
          <w:sz w:val="22"/>
          <w:szCs w:val="22"/>
        </w:rPr>
        <w:t xml:space="preserve">he </w:t>
      </w:r>
      <w:r w:rsidR="005E6397" w:rsidRPr="00DD0034">
        <w:rPr>
          <w:rFonts w:eastAsia="Calibri" w:cstheme="minorHAnsi"/>
          <w:b/>
          <w:sz w:val="22"/>
          <w:szCs w:val="22"/>
        </w:rPr>
        <w:t>Baby Futures Fund</w:t>
      </w:r>
      <w:r w:rsidR="005E6397" w:rsidRPr="00DD0034">
        <w:rPr>
          <w:rFonts w:eastAsia="Calibri" w:cstheme="minorHAnsi"/>
          <w:sz w:val="22"/>
          <w:szCs w:val="22"/>
        </w:rPr>
        <w:t xml:space="preserve"> will be offered as a vehicle by which other funders interested in this population can direct their grant dollars to support training for organizations working with families with young children as well as communications/messaging and outreach support to activate organizations in local GOTC efforts. Using the existing infrastructure of the Baby Futures Fund and borrowing from the example of the Investors Committee, the </w:t>
      </w:r>
      <w:r w:rsidR="004C60D5" w:rsidRPr="00DD0034">
        <w:rPr>
          <w:rFonts w:eastAsia="Calibri" w:cstheme="minorHAnsi"/>
          <w:sz w:val="22"/>
          <w:szCs w:val="22"/>
        </w:rPr>
        <w:t xml:space="preserve">LA </w:t>
      </w:r>
      <w:r w:rsidR="005E6397" w:rsidRPr="00DD0034">
        <w:rPr>
          <w:rFonts w:eastAsia="Calibri" w:cstheme="minorHAnsi"/>
          <w:sz w:val="22"/>
          <w:szCs w:val="22"/>
        </w:rPr>
        <w:t>Partnership will operationalize a Census set-aside within the Fund and invite funders who either contribute directly to the Census fund or align their grantmaking to support projects supported by the Census fund to join a 0-8 committee where grant opportunities will be presented and reviewed for possible funding.</w:t>
      </w:r>
      <w:r w:rsidR="002B5BDC" w:rsidRPr="00DD0034">
        <w:rPr>
          <w:rFonts w:eastAsia="Calibri" w:cstheme="minorHAnsi"/>
          <w:sz w:val="22"/>
          <w:szCs w:val="22"/>
        </w:rPr>
        <w:t xml:space="preserve"> </w:t>
      </w:r>
      <w:r w:rsidR="002B5BDC" w:rsidRPr="00DD0034">
        <w:rPr>
          <w:rFonts w:eastAsia="Calibri" w:cstheme="minorHAnsi"/>
          <w:b/>
          <w:sz w:val="22"/>
          <w:szCs w:val="22"/>
        </w:rPr>
        <w:t>The funding can be directed statewide.</w:t>
      </w:r>
      <w:r w:rsidR="005E6397" w:rsidRPr="00DD0034">
        <w:rPr>
          <w:rFonts w:eastAsia="Calibri" w:cstheme="minorHAnsi"/>
          <w:sz w:val="22"/>
          <w:szCs w:val="22"/>
        </w:rPr>
        <w:t xml:space="preserve"> </w:t>
      </w:r>
      <w:r w:rsidR="008A48A3" w:rsidRPr="00DD0034">
        <w:rPr>
          <w:rFonts w:eastAsia="Calibri" w:cstheme="minorHAnsi"/>
          <w:sz w:val="22"/>
          <w:szCs w:val="22"/>
        </w:rPr>
        <w:t>Contact Kaci Patterson (</w:t>
      </w:r>
      <w:hyperlink r:id="rId12" w:history="1">
        <w:r w:rsidR="008A48A3" w:rsidRPr="00DD0034">
          <w:rPr>
            <w:rStyle w:val="Hyperlink"/>
            <w:rFonts w:eastAsia="Calibri" w:cstheme="minorHAnsi"/>
            <w:sz w:val="22"/>
            <w:szCs w:val="22"/>
          </w:rPr>
          <w:t>kaci@investinkidsla.org</w:t>
        </w:r>
      </w:hyperlink>
      <w:r w:rsidR="008A48A3" w:rsidRPr="00DD0034">
        <w:rPr>
          <w:rFonts w:eastAsia="Calibri" w:cstheme="minorHAnsi"/>
          <w:sz w:val="22"/>
          <w:szCs w:val="22"/>
        </w:rPr>
        <w:t xml:space="preserve">) for more information. </w:t>
      </w:r>
      <w:bookmarkEnd w:id="1"/>
    </w:p>
    <w:p w14:paraId="2F244F96" w14:textId="2479D456" w:rsidR="00766783" w:rsidRPr="00DD0034" w:rsidRDefault="00766783" w:rsidP="00DD0034">
      <w:pPr>
        <w:pStyle w:val="ListParagraph"/>
        <w:numPr>
          <w:ilvl w:val="0"/>
          <w:numId w:val="33"/>
        </w:numPr>
        <w:spacing w:after="240"/>
        <w:rPr>
          <w:rFonts w:cstheme="minorHAnsi"/>
          <w:sz w:val="22"/>
          <w:szCs w:val="22"/>
        </w:rPr>
      </w:pPr>
      <w:r w:rsidRPr="00DD0034">
        <w:rPr>
          <w:rFonts w:cstheme="minorHAnsi"/>
          <w:sz w:val="22"/>
          <w:szCs w:val="22"/>
        </w:rPr>
        <w:lastRenderedPageBreak/>
        <w:t xml:space="preserve">Promote an accurate understanding of the young children undercount to funders and CBOs and how it’s different from other groups. </w:t>
      </w:r>
    </w:p>
    <w:p w14:paraId="1F0DEDA2" w14:textId="77777777" w:rsidR="00766783" w:rsidRPr="00DD0034" w:rsidRDefault="00766783" w:rsidP="00766783">
      <w:pPr>
        <w:pStyle w:val="ListParagraph"/>
        <w:numPr>
          <w:ilvl w:val="1"/>
          <w:numId w:val="30"/>
        </w:numPr>
        <w:shd w:val="clear" w:color="auto" w:fill="FFFFFF"/>
        <w:spacing w:after="240"/>
        <w:rPr>
          <w:rFonts w:eastAsia="Times New Roman" w:cstheme="minorHAnsi"/>
          <w:sz w:val="22"/>
          <w:szCs w:val="22"/>
        </w:rPr>
      </w:pPr>
      <w:r w:rsidRPr="00DD0034">
        <w:rPr>
          <w:rFonts w:eastAsia="Times New Roman" w:cstheme="minorHAnsi"/>
          <w:sz w:val="22"/>
          <w:szCs w:val="22"/>
        </w:rPr>
        <w:t xml:space="preserve">Produce op-eds, blog posts or mailings to your network and grantees about the importance of counting young children. </w:t>
      </w:r>
    </w:p>
    <w:p w14:paraId="746225E8" w14:textId="77777777" w:rsidR="00766783" w:rsidRPr="00DD0034" w:rsidRDefault="00766783" w:rsidP="00766783">
      <w:pPr>
        <w:pStyle w:val="ListParagraph"/>
        <w:numPr>
          <w:ilvl w:val="1"/>
          <w:numId w:val="30"/>
        </w:numPr>
        <w:shd w:val="clear" w:color="auto" w:fill="FFFFFF"/>
        <w:spacing w:after="240"/>
        <w:rPr>
          <w:rFonts w:eastAsia="Times New Roman" w:cstheme="minorHAnsi"/>
          <w:sz w:val="22"/>
          <w:szCs w:val="22"/>
        </w:rPr>
      </w:pPr>
      <w:r w:rsidRPr="00DD0034">
        <w:rPr>
          <w:rFonts w:eastAsia="Times New Roman" w:cstheme="minorHAnsi"/>
          <w:sz w:val="22"/>
          <w:szCs w:val="22"/>
        </w:rPr>
        <w:t xml:space="preserve">Organize webinars and host meetings for CBOs focused on the count of young children </w:t>
      </w:r>
    </w:p>
    <w:p w14:paraId="74552F1D" w14:textId="77777777" w:rsidR="00766783" w:rsidRPr="00DD0034" w:rsidRDefault="00766783" w:rsidP="00766783">
      <w:pPr>
        <w:pStyle w:val="ListParagraph"/>
        <w:numPr>
          <w:ilvl w:val="1"/>
          <w:numId w:val="30"/>
        </w:numPr>
        <w:shd w:val="clear" w:color="auto" w:fill="FFFFFF"/>
        <w:spacing w:after="240"/>
        <w:rPr>
          <w:rFonts w:eastAsia="Times New Roman" w:cstheme="minorHAnsi"/>
          <w:sz w:val="22"/>
          <w:szCs w:val="22"/>
        </w:rPr>
      </w:pPr>
      <w:r w:rsidRPr="00DD0034">
        <w:rPr>
          <w:rFonts w:eastAsia="Times New Roman" w:cstheme="minorHAnsi"/>
          <w:sz w:val="22"/>
          <w:szCs w:val="22"/>
        </w:rPr>
        <w:t>Ensure that partners have access to targeted messaging specific to young children</w:t>
      </w:r>
    </w:p>
    <w:p w14:paraId="02FD52DE" w14:textId="77777777" w:rsidR="00766783" w:rsidRPr="00DD0034" w:rsidRDefault="00766783" w:rsidP="00766783">
      <w:pPr>
        <w:pStyle w:val="ListParagraph"/>
        <w:shd w:val="clear" w:color="auto" w:fill="FFFFFF"/>
        <w:spacing w:after="240"/>
        <w:ind w:left="1440"/>
        <w:rPr>
          <w:rFonts w:eastAsia="Times New Roman" w:cstheme="minorHAnsi"/>
          <w:sz w:val="22"/>
          <w:szCs w:val="22"/>
        </w:rPr>
      </w:pPr>
    </w:p>
    <w:p w14:paraId="4B60AE58" w14:textId="0D371E57" w:rsidR="00766783" w:rsidRPr="00DD0034" w:rsidRDefault="00766783" w:rsidP="00DD0034">
      <w:pPr>
        <w:pStyle w:val="ListParagraph"/>
        <w:numPr>
          <w:ilvl w:val="0"/>
          <w:numId w:val="33"/>
        </w:numPr>
        <w:shd w:val="clear" w:color="auto" w:fill="FFFFFF"/>
        <w:spacing w:after="240"/>
        <w:rPr>
          <w:rFonts w:eastAsia="Times New Roman" w:cstheme="minorHAnsi"/>
          <w:sz w:val="22"/>
          <w:szCs w:val="22"/>
        </w:rPr>
      </w:pPr>
      <w:r w:rsidRPr="00DD0034">
        <w:rPr>
          <w:rFonts w:eastAsia="Times New Roman" w:cstheme="minorHAnsi"/>
          <w:b/>
          <w:sz w:val="22"/>
          <w:szCs w:val="22"/>
        </w:rPr>
        <w:t xml:space="preserve">Continue to articulate the need </w:t>
      </w:r>
      <w:r w:rsidRPr="00DD0034">
        <w:rPr>
          <w:rFonts w:eastAsia="Times New Roman" w:cstheme="minorHAnsi"/>
          <w:sz w:val="22"/>
          <w:szCs w:val="22"/>
        </w:rPr>
        <w:t xml:space="preserve">especially to funders across California, some of whom have shown interest to in the gaps. If they are funding message research in languages, ask them to test different words for who lives in the household. </w:t>
      </w:r>
    </w:p>
    <w:p w14:paraId="570D3971" w14:textId="77777777" w:rsidR="00766783" w:rsidRPr="00DD0034" w:rsidRDefault="00766783" w:rsidP="00766783">
      <w:pPr>
        <w:pStyle w:val="ListParagraph"/>
        <w:shd w:val="clear" w:color="auto" w:fill="FFFFFF"/>
        <w:spacing w:after="240"/>
        <w:ind w:left="1080"/>
        <w:rPr>
          <w:rFonts w:eastAsia="Times New Roman" w:cstheme="minorHAnsi"/>
          <w:sz w:val="22"/>
          <w:szCs w:val="22"/>
        </w:rPr>
      </w:pPr>
    </w:p>
    <w:p w14:paraId="31617BDE" w14:textId="77777777" w:rsidR="00766783" w:rsidRPr="00DD0034" w:rsidRDefault="00766783" w:rsidP="00DD0034">
      <w:pPr>
        <w:pStyle w:val="ListParagraph"/>
        <w:numPr>
          <w:ilvl w:val="0"/>
          <w:numId w:val="33"/>
        </w:numPr>
        <w:shd w:val="clear" w:color="auto" w:fill="FFFFFF"/>
        <w:spacing w:after="240"/>
        <w:rPr>
          <w:rFonts w:eastAsia="Times New Roman" w:cstheme="minorHAnsi"/>
          <w:sz w:val="22"/>
          <w:szCs w:val="22"/>
        </w:rPr>
      </w:pPr>
      <w:r w:rsidRPr="00DD0034">
        <w:rPr>
          <w:rFonts w:eastAsia="Times New Roman" w:cstheme="minorHAnsi"/>
          <w:sz w:val="22"/>
          <w:szCs w:val="22"/>
        </w:rPr>
        <w:t xml:space="preserve">Work with the local ACBO that was awarded the state contract to ensure there is a focus on young children. See attached for a list of ACBOs. </w:t>
      </w:r>
    </w:p>
    <w:p w14:paraId="03D9C8FF" w14:textId="77777777" w:rsidR="00766783" w:rsidRPr="00DD0034" w:rsidRDefault="00766783" w:rsidP="00766783">
      <w:pPr>
        <w:pStyle w:val="ListParagraph"/>
        <w:rPr>
          <w:rFonts w:eastAsia="Times New Roman" w:cstheme="minorHAnsi"/>
          <w:sz w:val="22"/>
          <w:szCs w:val="22"/>
        </w:rPr>
      </w:pPr>
    </w:p>
    <w:p w14:paraId="55008DD7" w14:textId="77777777" w:rsidR="00766783" w:rsidRPr="00DD0034" w:rsidRDefault="00766783" w:rsidP="00DD0034">
      <w:pPr>
        <w:pStyle w:val="ListParagraph"/>
        <w:numPr>
          <w:ilvl w:val="0"/>
          <w:numId w:val="33"/>
        </w:numPr>
        <w:shd w:val="clear" w:color="auto" w:fill="FFFFFF"/>
        <w:spacing w:after="240"/>
        <w:rPr>
          <w:rFonts w:eastAsia="Times New Roman" w:cstheme="minorHAnsi"/>
          <w:sz w:val="22"/>
          <w:szCs w:val="22"/>
        </w:rPr>
      </w:pPr>
      <w:r w:rsidRPr="00DD0034">
        <w:rPr>
          <w:rFonts w:eastAsia="Times New Roman" w:cstheme="minorHAnsi"/>
          <w:sz w:val="22"/>
          <w:szCs w:val="22"/>
        </w:rPr>
        <w:t xml:space="preserve">Identify opportunities to </w:t>
      </w:r>
      <w:r w:rsidRPr="00DD0034">
        <w:rPr>
          <w:rFonts w:eastAsia="Times New Roman" w:cstheme="minorHAnsi"/>
          <w:b/>
          <w:sz w:val="22"/>
          <w:szCs w:val="22"/>
        </w:rPr>
        <w:t xml:space="preserve">partner with the State </w:t>
      </w:r>
      <w:r w:rsidRPr="00DD0034">
        <w:rPr>
          <w:rFonts w:eastAsia="Times New Roman" w:cstheme="minorHAnsi"/>
          <w:sz w:val="22"/>
          <w:szCs w:val="22"/>
        </w:rPr>
        <w:t xml:space="preserve">to address the undercount of young children. (TBD) </w:t>
      </w:r>
    </w:p>
    <w:p w14:paraId="114E5B95" w14:textId="77777777" w:rsidR="00766783" w:rsidRPr="00DD0034" w:rsidRDefault="00766783" w:rsidP="00766783">
      <w:pPr>
        <w:pStyle w:val="ListParagraph"/>
        <w:shd w:val="clear" w:color="auto" w:fill="FFFFFF"/>
        <w:spacing w:after="240"/>
        <w:ind w:left="1080"/>
        <w:rPr>
          <w:rFonts w:eastAsia="Times New Roman" w:cstheme="minorHAnsi"/>
          <w:sz w:val="22"/>
          <w:szCs w:val="22"/>
        </w:rPr>
      </w:pPr>
    </w:p>
    <w:p w14:paraId="061C1AE1" w14:textId="77777777" w:rsidR="00766783" w:rsidRPr="00DD0034" w:rsidRDefault="00766783" w:rsidP="00DD0034">
      <w:pPr>
        <w:pStyle w:val="ListParagraph"/>
        <w:numPr>
          <w:ilvl w:val="0"/>
          <w:numId w:val="33"/>
        </w:numPr>
        <w:rPr>
          <w:rFonts w:cstheme="minorHAnsi"/>
          <w:sz w:val="22"/>
          <w:szCs w:val="22"/>
        </w:rPr>
      </w:pPr>
      <w:r w:rsidRPr="00DD0034">
        <w:rPr>
          <w:rFonts w:cstheme="minorHAnsi"/>
          <w:sz w:val="22"/>
          <w:szCs w:val="22"/>
        </w:rPr>
        <w:t xml:space="preserve">Sign up at countallkids.org to be part of the campaign to Count All Kids. Receive updates on the latest research, webinar information and notification when outreach materials are available on the website. </w:t>
      </w:r>
    </w:p>
    <w:p w14:paraId="48E508E4" w14:textId="77777777" w:rsidR="00766783" w:rsidRPr="00DD0034" w:rsidRDefault="00766783">
      <w:pPr>
        <w:shd w:val="clear" w:color="auto" w:fill="FFFFFF"/>
        <w:spacing w:after="240"/>
        <w:rPr>
          <w:rFonts w:eastAsia="Times New Roman" w:cstheme="minorHAnsi"/>
          <w:b/>
          <w:sz w:val="22"/>
          <w:szCs w:val="22"/>
        </w:rPr>
      </w:pPr>
    </w:p>
    <w:p w14:paraId="1235D71B" w14:textId="637C1DB0" w:rsidR="00D12F7E" w:rsidRPr="00DD0034" w:rsidRDefault="00D12F7E" w:rsidP="00DD0034">
      <w:pPr>
        <w:shd w:val="clear" w:color="auto" w:fill="FFFFFF"/>
        <w:spacing w:after="240"/>
        <w:jc w:val="center"/>
        <w:rPr>
          <w:rFonts w:eastAsia="Times New Roman" w:cstheme="minorHAnsi"/>
          <w:b/>
          <w:sz w:val="22"/>
          <w:szCs w:val="22"/>
        </w:rPr>
      </w:pPr>
      <w:r w:rsidRPr="00DD0034">
        <w:rPr>
          <w:rFonts w:eastAsia="Times New Roman" w:cstheme="minorHAnsi"/>
          <w:b/>
          <w:sz w:val="22"/>
          <w:szCs w:val="22"/>
        </w:rPr>
        <w:t>Geographic Focus</w:t>
      </w:r>
    </w:p>
    <w:p w14:paraId="3689E753" w14:textId="5D1941B1" w:rsidR="00D12F7E" w:rsidRPr="00DD0034" w:rsidRDefault="00D12F7E" w:rsidP="00DD0034">
      <w:pPr>
        <w:pStyle w:val="ListParagraph"/>
        <w:numPr>
          <w:ilvl w:val="0"/>
          <w:numId w:val="32"/>
        </w:numPr>
        <w:spacing w:after="240"/>
        <w:rPr>
          <w:rFonts w:eastAsia="Times New Roman" w:cstheme="minorHAnsi"/>
          <w:b/>
          <w:sz w:val="22"/>
          <w:szCs w:val="22"/>
        </w:rPr>
      </w:pPr>
      <w:r w:rsidRPr="00DD0034">
        <w:rPr>
          <w:rFonts w:cstheme="minorHAnsi"/>
          <w:b/>
          <w:sz w:val="22"/>
          <w:szCs w:val="22"/>
        </w:rPr>
        <w:t>Fund key geographic</w:t>
      </w:r>
      <w:r w:rsidRPr="00DD0034">
        <w:rPr>
          <w:rFonts w:cstheme="minorHAnsi"/>
          <w:sz w:val="22"/>
          <w:szCs w:val="22"/>
        </w:rPr>
        <w:t xml:space="preserve"> areas that have large populations of young children that are likely to be missed (which may or may not be in HTC communities) but low resources</w:t>
      </w:r>
      <w:r w:rsidRPr="00DD0034">
        <w:rPr>
          <w:rFonts w:cstheme="minorHAnsi"/>
          <w:sz w:val="22"/>
          <w:szCs w:val="22"/>
          <w:shd w:val="clear" w:color="auto" w:fill="FFFFFF"/>
        </w:rPr>
        <w:t xml:space="preserve">. </w:t>
      </w:r>
    </w:p>
    <w:p w14:paraId="249CCBC0" w14:textId="124DC7C1" w:rsidR="00762B47" w:rsidRPr="00DD0034" w:rsidRDefault="00762B47" w:rsidP="00DD0034">
      <w:pPr>
        <w:shd w:val="clear" w:color="auto" w:fill="FFFFFF"/>
        <w:spacing w:after="240"/>
        <w:jc w:val="center"/>
        <w:rPr>
          <w:rFonts w:eastAsia="Times New Roman" w:cstheme="minorHAnsi"/>
          <w:b/>
          <w:sz w:val="22"/>
          <w:szCs w:val="22"/>
        </w:rPr>
      </w:pPr>
    </w:p>
    <w:p w14:paraId="266FBDB1" w14:textId="4EC539A1" w:rsidR="004F6404" w:rsidRPr="00DD0034" w:rsidRDefault="004F6404" w:rsidP="009F1208">
      <w:pPr>
        <w:rPr>
          <w:rFonts w:cstheme="minorHAnsi"/>
          <w:color w:val="000000" w:themeColor="text1"/>
          <w:sz w:val="22"/>
          <w:szCs w:val="22"/>
        </w:rPr>
      </w:pPr>
    </w:p>
    <w:p w14:paraId="1F58D0DE" w14:textId="77777777" w:rsidR="00380851" w:rsidRPr="00DD0034" w:rsidRDefault="00380851">
      <w:pPr>
        <w:rPr>
          <w:rFonts w:cstheme="minorHAnsi"/>
          <w:b/>
          <w:color w:val="000000" w:themeColor="text1"/>
          <w:sz w:val="22"/>
          <w:szCs w:val="22"/>
        </w:rPr>
      </w:pPr>
      <w:r w:rsidRPr="00DD0034">
        <w:rPr>
          <w:rFonts w:cstheme="minorHAnsi"/>
          <w:b/>
          <w:color w:val="000000" w:themeColor="text1"/>
          <w:sz w:val="22"/>
          <w:szCs w:val="22"/>
        </w:rPr>
        <w:br w:type="page"/>
      </w:r>
    </w:p>
    <w:p w14:paraId="7F40B52B" w14:textId="3530772D" w:rsidR="00380851" w:rsidRPr="00DD0034" w:rsidRDefault="00380851" w:rsidP="00380851">
      <w:pPr>
        <w:jc w:val="center"/>
        <w:rPr>
          <w:rFonts w:cstheme="minorHAnsi"/>
          <w:b/>
          <w:color w:val="000000" w:themeColor="text1"/>
          <w:sz w:val="22"/>
          <w:szCs w:val="22"/>
        </w:rPr>
      </w:pPr>
      <w:r w:rsidRPr="00DD0034">
        <w:rPr>
          <w:rFonts w:cstheme="minorHAnsi"/>
          <w:b/>
          <w:color w:val="000000" w:themeColor="text1"/>
          <w:sz w:val="22"/>
          <w:szCs w:val="22"/>
        </w:rPr>
        <w:lastRenderedPageBreak/>
        <w:t>Table 1: Estimated Net Undercount Rate for Young Children Age 0 – 4</w:t>
      </w:r>
    </w:p>
    <w:p w14:paraId="4FD23914" w14:textId="77777777" w:rsidR="00380851" w:rsidRPr="00DD0034" w:rsidRDefault="00380851" w:rsidP="00380851">
      <w:pPr>
        <w:jc w:val="center"/>
        <w:rPr>
          <w:rFonts w:cstheme="minorHAnsi"/>
          <w:b/>
          <w:color w:val="000000" w:themeColor="text1"/>
          <w:sz w:val="22"/>
          <w:szCs w:val="22"/>
        </w:rPr>
      </w:pPr>
    </w:p>
    <w:p w14:paraId="2271433F" w14:textId="4A472553" w:rsidR="005E6397" w:rsidRPr="00DD0034" w:rsidRDefault="004F6404" w:rsidP="009F1208">
      <w:pPr>
        <w:rPr>
          <w:rFonts w:cstheme="minorHAnsi"/>
          <w:color w:val="000000" w:themeColor="text1"/>
          <w:sz w:val="22"/>
          <w:szCs w:val="22"/>
        </w:rPr>
      </w:pPr>
      <w:r w:rsidRPr="00DD0034">
        <w:rPr>
          <w:rFonts w:cstheme="minorHAnsi"/>
          <w:color w:val="000000" w:themeColor="text1"/>
          <w:sz w:val="22"/>
          <w:szCs w:val="22"/>
        </w:rPr>
        <w:t>Below</w:t>
      </w:r>
      <w:r w:rsidR="005E6397" w:rsidRPr="00DD0034">
        <w:rPr>
          <w:rFonts w:cstheme="minorHAnsi"/>
          <w:color w:val="000000" w:themeColor="text1"/>
          <w:sz w:val="22"/>
          <w:szCs w:val="22"/>
        </w:rPr>
        <w:t xml:space="preserve"> is the list of large counties that had the highest net undercounts in 2010. </w:t>
      </w:r>
      <w:r w:rsidR="003727D3" w:rsidRPr="00DD0034">
        <w:rPr>
          <w:rFonts w:cstheme="minorHAnsi"/>
          <w:color w:val="000000" w:themeColor="text1"/>
          <w:sz w:val="22"/>
          <w:szCs w:val="22"/>
        </w:rPr>
        <w:t xml:space="preserve">Those highlights are currently receiving private funding. This list does not include all 58 counties in California. </w:t>
      </w:r>
    </w:p>
    <w:p w14:paraId="7807BBF5" w14:textId="77777777" w:rsidR="009F1208" w:rsidRPr="00DD0034" w:rsidRDefault="009F1208" w:rsidP="009F1208">
      <w:pPr>
        <w:rPr>
          <w:rFonts w:cstheme="minorHAnsi"/>
          <w:color w:val="1F497D"/>
          <w:sz w:val="20"/>
          <w:szCs w:val="20"/>
        </w:rPr>
      </w:pPr>
    </w:p>
    <w:tbl>
      <w:tblPr>
        <w:tblW w:w="8620" w:type="dxa"/>
        <w:tblInd w:w="113" w:type="dxa"/>
        <w:tblLook w:val="04A0" w:firstRow="1" w:lastRow="0" w:firstColumn="1" w:lastColumn="0" w:noHBand="0" w:noVBand="1"/>
      </w:tblPr>
      <w:tblGrid>
        <w:gridCol w:w="960"/>
        <w:gridCol w:w="960"/>
        <w:gridCol w:w="3060"/>
        <w:gridCol w:w="2005"/>
        <w:gridCol w:w="1635"/>
      </w:tblGrid>
      <w:tr w:rsidR="005A4D98" w:rsidRPr="00F04FD7" w14:paraId="6435CFD0" w14:textId="77777777" w:rsidTr="005A4D98">
        <w:trPr>
          <w:trHeight w:val="780"/>
        </w:trPr>
        <w:tc>
          <w:tcPr>
            <w:tcW w:w="960" w:type="dxa"/>
            <w:tcBorders>
              <w:top w:val="single" w:sz="4" w:space="0" w:color="auto"/>
              <w:left w:val="single" w:sz="4" w:space="0" w:color="auto"/>
              <w:bottom w:val="single" w:sz="4" w:space="0" w:color="auto"/>
              <w:right w:val="single" w:sz="4" w:space="0" w:color="auto"/>
            </w:tcBorders>
            <w:shd w:val="clear" w:color="000000" w:fill="auto"/>
            <w:vAlign w:val="bottom"/>
          </w:tcPr>
          <w:p w14:paraId="6C864C09" w14:textId="77777777" w:rsidR="005A4D98" w:rsidRPr="00DD0034" w:rsidRDefault="005A4D98" w:rsidP="005A4D98">
            <w:pPr>
              <w:jc w:val="center"/>
              <w:rPr>
                <w:rFonts w:eastAsia="Times New Roman" w:cstheme="minorHAnsi"/>
                <w:color w:val="000000"/>
                <w:sz w:val="20"/>
                <w:szCs w:val="20"/>
              </w:rPr>
            </w:pPr>
          </w:p>
          <w:p w14:paraId="7271F2BC" w14:textId="771FE596" w:rsidR="005A4D98" w:rsidRPr="00DD0034" w:rsidRDefault="005A4D98" w:rsidP="005A4D98">
            <w:pPr>
              <w:rPr>
                <w:rFonts w:eastAsia="Times New Roman" w:cstheme="minorHAnsi"/>
                <w:color w:val="000000"/>
                <w:sz w:val="20"/>
                <w:szCs w:val="20"/>
              </w:rPr>
            </w:pPr>
            <w:r w:rsidRPr="00DD0034">
              <w:rPr>
                <w:rFonts w:eastAsia="Times New Roman" w:cstheme="minorHAnsi"/>
                <w:b/>
                <w:color w:val="000000"/>
                <w:sz w:val="20"/>
                <w:szCs w:val="20"/>
              </w:rPr>
              <w:t xml:space="preserve">National Rank </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D2EC03" w14:textId="2F0E4979" w:rsidR="005A4D98" w:rsidRPr="00DD0034" w:rsidRDefault="005A4D98" w:rsidP="005A4D98">
            <w:pPr>
              <w:jc w:val="center"/>
              <w:rPr>
                <w:rFonts w:eastAsia="Times New Roman" w:cstheme="minorHAnsi"/>
                <w:color w:val="000000"/>
                <w:sz w:val="20"/>
                <w:szCs w:val="20"/>
              </w:rPr>
            </w:pPr>
          </w:p>
          <w:p w14:paraId="635767A6" w14:textId="0D72EB4D" w:rsidR="005A4D98" w:rsidRPr="00DD0034" w:rsidRDefault="005A4D98" w:rsidP="005A4D98">
            <w:pPr>
              <w:jc w:val="center"/>
              <w:rPr>
                <w:rFonts w:eastAsia="Times New Roman" w:cstheme="minorHAnsi"/>
                <w:b/>
                <w:color w:val="000000"/>
                <w:sz w:val="20"/>
                <w:szCs w:val="20"/>
              </w:rPr>
            </w:pPr>
            <w:r w:rsidRPr="00DD0034">
              <w:rPr>
                <w:rFonts w:eastAsia="Times New Roman" w:cstheme="minorHAnsi"/>
                <w:b/>
                <w:color w:val="000000"/>
                <w:sz w:val="20"/>
                <w:szCs w:val="20"/>
              </w:rPr>
              <w:t xml:space="preserve">State Rank </w:t>
            </w:r>
          </w:p>
        </w:tc>
        <w:tc>
          <w:tcPr>
            <w:tcW w:w="3060" w:type="dxa"/>
            <w:tcBorders>
              <w:top w:val="single" w:sz="4" w:space="0" w:color="auto"/>
              <w:left w:val="nil"/>
              <w:bottom w:val="single" w:sz="4" w:space="0" w:color="auto"/>
              <w:right w:val="single" w:sz="4" w:space="0" w:color="auto"/>
            </w:tcBorders>
            <w:shd w:val="clear" w:color="000000" w:fill="F5F7F1"/>
            <w:vAlign w:val="bottom"/>
            <w:hideMark/>
          </w:tcPr>
          <w:p w14:paraId="2B30497C" w14:textId="77777777" w:rsidR="005A4D98" w:rsidRPr="00DD0034" w:rsidRDefault="005A4D98" w:rsidP="005A4D98">
            <w:pPr>
              <w:jc w:val="center"/>
              <w:rPr>
                <w:rFonts w:eastAsia="Times New Roman" w:cstheme="minorHAnsi"/>
                <w:b/>
                <w:bCs/>
                <w:sz w:val="20"/>
                <w:szCs w:val="20"/>
              </w:rPr>
            </w:pPr>
            <w:r w:rsidRPr="00DD0034">
              <w:rPr>
                <w:rFonts w:eastAsia="Times New Roman" w:cstheme="minorHAnsi"/>
                <w:b/>
                <w:bCs/>
                <w:sz w:val="20"/>
                <w:szCs w:val="20"/>
              </w:rPr>
              <w:t>County name</w:t>
            </w:r>
          </w:p>
        </w:tc>
        <w:tc>
          <w:tcPr>
            <w:tcW w:w="2005" w:type="dxa"/>
            <w:tcBorders>
              <w:top w:val="single" w:sz="4" w:space="0" w:color="auto"/>
              <w:left w:val="nil"/>
              <w:bottom w:val="single" w:sz="4" w:space="0" w:color="auto"/>
              <w:right w:val="single" w:sz="4" w:space="0" w:color="auto"/>
            </w:tcBorders>
            <w:shd w:val="clear" w:color="000000" w:fill="F5F7F1"/>
            <w:vAlign w:val="bottom"/>
            <w:hideMark/>
          </w:tcPr>
          <w:p w14:paraId="6F598984" w14:textId="77777777" w:rsidR="005A4D98" w:rsidRPr="00DD0034" w:rsidRDefault="005A4D98" w:rsidP="005A4D98">
            <w:pPr>
              <w:jc w:val="center"/>
              <w:rPr>
                <w:rFonts w:eastAsia="Times New Roman" w:cstheme="minorHAnsi"/>
                <w:b/>
                <w:bCs/>
                <w:sz w:val="20"/>
                <w:szCs w:val="20"/>
              </w:rPr>
            </w:pPr>
            <w:r w:rsidRPr="00DD0034">
              <w:rPr>
                <w:rFonts w:eastAsia="Times New Roman" w:cstheme="minorHAnsi"/>
                <w:b/>
                <w:bCs/>
                <w:sz w:val="20"/>
                <w:szCs w:val="20"/>
              </w:rPr>
              <w:t xml:space="preserve">Total Population </w:t>
            </w:r>
          </w:p>
          <w:p w14:paraId="767FEF63" w14:textId="7555959C" w:rsidR="005A4D98" w:rsidRPr="00DD0034" w:rsidRDefault="005A4D98" w:rsidP="005A4D98">
            <w:pPr>
              <w:jc w:val="center"/>
              <w:rPr>
                <w:rFonts w:eastAsia="Times New Roman" w:cstheme="minorHAnsi"/>
                <w:b/>
                <w:bCs/>
                <w:sz w:val="20"/>
                <w:szCs w:val="20"/>
              </w:rPr>
            </w:pPr>
            <w:r w:rsidRPr="00DD0034">
              <w:rPr>
                <w:rFonts w:eastAsia="Times New Roman" w:cstheme="minorHAnsi"/>
                <w:b/>
                <w:bCs/>
                <w:sz w:val="20"/>
                <w:szCs w:val="20"/>
              </w:rPr>
              <w:t>(all ages)</w:t>
            </w:r>
          </w:p>
        </w:tc>
        <w:tc>
          <w:tcPr>
            <w:tcW w:w="1635" w:type="dxa"/>
            <w:tcBorders>
              <w:top w:val="single" w:sz="4" w:space="0" w:color="auto"/>
              <w:left w:val="nil"/>
              <w:bottom w:val="single" w:sz="4" w:space="0" w:color="auto"/>
              <w:right w:val="single" w:sz="4" w:space="0" w:color="auto"/>
            </w:tcBorders>
            <w:shd w:val="clear" w:color="000000" w:fill="F5F7F1"/>
            <w:vAlign w:val="bottom"/>
            <w:hideMark/>
          </w:tcPr>
          <w:p w14:paraId="75638128" w14:textId="77777777" w:rsidR="005A4D98" w:rsidRPr="00DD0034" w:rsidRDefault="005A4D98" w:rsidP="005A4D98">
            <w:pPr>
              <w:jc w:val="center"/>
              <w:rPr>
                <w:rFonts w:eastAsia="Times New Roman" w:cstheme="minorHAnsi"/>
                <w:b/>
                <w:bCs/>
                <w:sz w:val="20"/>
                <w:szCs w:val="20"/>
              </w:rPr>
            </w:pPr>
            <w:r w:rsidRPr="00DD0034">
              <w:rPr>
                <w:rFonts w:eastAsia="Times New Roman" w:cstheme="minorHAnsi"/>
                <w:b/>
                <w:bCs/>
                <w:sz w:val="20"/>
                <w:szCs w:val="20"/>
              </w:rPr>
              <w:t xml:space="preserve">DA Net Undercount </w:t>
            </w:r>
          </w:p>
          <w:p w14:paraId="250FA4E6" w14:textId="004F184A" w:rsidR="005A4D98" w:rsidRPr="00DD0034" w:rsidRDefault="005A4D98" w:rsidP="005A4D98">
            <w:pPr>
              <w:jc w:val="center"/>
              <w:rPr>
                <w:rFonts w:eastAsia="Times New Roman" w:cstheme="minorHAnsi"/>
                <w:b/>
                <w:bCs/>
                <w:sz w:val="20"/>
                <w:szCs w:val="20"/>
              </w:rPr>
            </w:pPr>
            <w:r w:rsidRPr="00DD0034">
              <w:rPr>
                <w:rFonts w:eastAsia="Times New Roman" w:cstheme="minorHAnsi"/>
                <w:b/>
                <w:bCs/>
                <w:sz w:val="20"/>
                <w:szCs w:val="20"/>
              </w:rPr>
              <w:t xml:space="preserve">Age 0-4 </w:t>
            </w:r>
          </w:p>
        </w:tc>
      </w:tr>
      <w:tr w:rsidR="005A4D98" w:rsidRPr="00F04FD7" w14:paraId="4298A458"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1CE69375" w14:textId="1DB79020"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12</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7F724A9B" w14:textId="25B62628"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w:t>
            </w:r>
          </w:p>
        </w:tc>
        <w:tc>
          <w:tcPr>
            <w:tcW w:w="3060" w:type="dxa"/>
            <w:tcBorders>
              <w:top w:val="nil"/>
              <w:left w:val="nil"/>
              <w:bottom w:val="single" w:sz="4" w:space="0" w:color="auto"/>
              <w:right w:val="single" w:sz="4" w:space="0" w:color="auto"/>
            </w:tcBorders>
            <w:shd w:val="clear" w:color="auto" w:fill="auto"/>
            <w:vAlign w:val="bottom"/>
            <w:hideMark/>
          </w:tcPr>
          <w:p w14:paraId="5EA519A9"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Santa Cruz County</w:t>
            </w:r>
          </w:p>
        </w:tc>
        <w:tc>
          <w:tcPr>
            <w:tcW w:w="2005" w:type="dxa"/>
            <w:tcBorders>
              <w:top w:val="nil"/>
              <w:left w:val="nil"/>
              <w:bottom w:val="single" w:sz="4" w:space="0" w:color="auto"/>
              <w:right w:val="single" w:sz="4" w:space="0" w:color="auto"/>
            </w:tcBorders>
            <w:shd w:val="clear" w:color="auto" w:fill="auto"/>
            <w:vAlign w:val="bottom"/>
            <w:hideMark/>
          </w:tcPr>
          <w:p w14:paraId="7ED6643F"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262,382 </w:t>
            </w:r>
          </w:p>
        </w:tc>
        <w:tc>
          <w:tcPr>
            <w:tcW w:w="1635" w:type="dxa"/>
            <w:tcBorders>
              <w:top w:val="nil"/>
              <w:left w:val="nil"/>
              <w:bottom w:val="single" w:sz="4" w:space="0" w:color="auto"/>
              <w:right w:val="single" w:sz="4" w:space="0" w:color="auto"/>
            </w:tcBorders>
            <w:shd w:val="clear" w:color="auto" w:fill="auto"/>
            <w:vAlign w:val="bottom"/>
            <w:hideMark/>
          </w:tcPr>
          <w:p w14:paraId="01D0CEC2"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-8.4</w:t>
            </w:r>
          </w:p>
        </w:tc>
      </w:tr>
      <w:tr w:rsidR="005A4D98" w:rsidRPr="00F04FD7" w14:paraId="2C44F9AB"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0F06B4BE" w14:textId="2620CD01"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31</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74E5A2D4" w14:textId="57E28780"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w:t>
            </w:r>
          </w:p>
        </w:tc>
        <w:tc>
          <w:tcPr>
            <w:tcW w:w="3060" w:type="dxa"/>
            <w:tcBorders>
              <w:top w:val="nil"/>
              <w:left w:val="nil"/>
              <w:bottom w:val="single" w:sz="4" w:space="0" w:color="auto"/>
              <w:right w:val="single" w:sz="4" w:space="0" w:color="auto"/>
            </w:tcBorders>
            <w:shd w:val="clear" w:color="auto" w:fill="auto"/>
            <w:vAlign w:val="bottom"/>
            <w:hideMark/>
          </w:tcPr>
          <w:p w14:paraId="28A48E36"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 Diego County</w:t>
            </w:r>
          </w:p>
        </w:tc>
        <w:tc>
          <w:tcPr>
            <w:tcW w:w="2005" w:type="dxa"/>
            <w:tcBorders>
              <w:top w:val="nil"/>
              <w:left w:val="nil"/>
              <w:bottom w:val="single" w:sz="4" w:space="0" w:color="auto"/>
              <w:right w:val="single" w:sz="4" w:space="0" w:color="auto"/>
            </w:tcBorders>
            <w:shd w:val="clear" w:color="auto" w:fill="auto"/>
            <w:vAlign w:val="bottom"/>
            <w:hideMark/>
          </w:tcPr>
          <w:p w14:paraId="4BF0765F"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3,095,313 </w:t>
            </w:r>
          </w:p>
        </w:tc>
        <w:tc>
          <w:tcPr>
            <w:tcW w:w="1635" w:type="dxa"/>
            <w:tcBorders>
              <w:top w:val="nil"/>
              <w:left w:val="nil"/>
              <w:bottom w:val="single" w:sz="4" w:space="0" w:color="auto"/>
              <w:right w:val="single" w:sz="4" w:space="0" w:color="auto"/>
            </w:tcBorders>
            <w:shd w:val="clear" w:color="auto" w:fill="auto"/>
            <w:vAlign w:val="bottom"/>
            <w:hideMark/>
          </w:tcPr>
          <w:p w14:paraId="62FA02A9"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-6.7</w:t>
            </w:r>
          </w:p>
        </w:tc>
      </w:tr>
      <w:tr w:rsidR="005A4D98" w:rsidRPr="00F04FD7" w14:paraId="5A48CC6D"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1F06C438" w14:textId="53656DBD"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51</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6D2ADAA7" w14:textId="28751178"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3</w:t>
            </w:r>
          </w:p>
        </w:tc>
        <w:tc>
          <w:tcPr>
            <w:tcW w:w="3060" w:type="dxa"/>
            <w:tcBorders>
              <w:top w:val="nil"/>
              <w:left w:val="nil"/>
              <w:bottom w:val="single" w:sz="4" w:space="0" w:color="auto"/>
              <w:right w:val="single" w:sz="4" w:space="0" w:color="auto"/>
            </w:tcBorders>
            <w:shd w:val="clear" w:color="auto" w:fill="auto"/>
            <w:vAlign w:val="bottom"/>
            <w:hideMark/>
          </w:tcPr>
          <w:p w14:paraId="20132817"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Santa Barbara County</w:t>
            </w:r>
          </w:p>
        </w:tc>
        <w:tc>
          <w:tcPr>
            <w:tcW w:w="2005" w:type="dxa"/>
            <w:tcBorders>
              <w:top w:val="nil"/>
              <w:left w:val="nil"/>
              <w:bottom w:val="single" w:sz="4" w:space="0" w:color="auto"/>
              <w:right w:val="single" w:sz="4" w:space="0" w:color="auto"/>
            </w:tcBorders>
            <w:shd w:val="clear" w:color="auto" w:fill="auto"/>
            <w:vAlign w:val="bottom"/>
            <w:hideMark/>
          </w:tcPr>
          <w:p w14:paraId="19F5B1BB"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423,895 </w:t>
            </w:r>
          </w:p>
        </w:tc>
        <w:tc>
          <w:tcPr>
            <w:tcW w:w="1635" w:type="dxa"/>
            <w:tcBorders>
              <w:top w:val="nil"/>
              <w:left w:val="nil"/>
              <w:bottom w:val="single" w:sz="4" w:space="0" w:color="auto"/>
              <w:right w:val="single" w:sz="4" w:space="0" w:color="auto"/>
            </w:tcBorders>
            <w:shd w:val="clear" w:color="auto" w:fill="auto"/>
            <w:vAlign w:val="bottom"/>
            <w:hideMark/>
          </w:tcPr>
          <w:p w14:paraId="01B00F54"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-5.9</w:t>
            </w:r>
          </w:p>
        </w:tc>
      </w:tr>
      <w:tr w:rsidR="005A4D98" w:rsidRPr="00F04FD7" w14:paraId="06EF7922"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2DEF7EAC" w14:textId="752FC559"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65</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5D7534F" w14:textId="2E2BE583"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4</w:t>
            </w:r>
          </w:p>
        </w:tc>
        <w:tc>
          <w:tcPr>
            <w:tcW w:w="3060" w:type="dxa"/>
            <w:tcBorders>
              <w:top w:val="nil"/>
              <w:left w:val="nil"/>
              <w:bottom w:val="single" w:sz="4" w:space="0" w:color="auto"/>
              <w:right w:val="single" w:sz="4" w:space="0" w:color="auto"/>
            </w:tcBorders>
            <w:shd w:val="clear" w:color="auto" w:fill="auto"/>
            <w:vAlign w:val="bottom"/>
            <w:hideMark/>
          </w:tcPr>
          <w:p w14:paraId="20A3C2C9"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Orange County</w:t>
            </w:r>
          </w:p>
        </w:tc>
        <w:tc>
          <w:tcPr>
            <w:tcW w:w="2005" w:type="dxa"/>
            <w:tcBorders>
              <w:top w:val="nil"/>
              <w:left w:val="nil"/>
              <w:bottom w:val="single" w:sz="4" w:space="0" w:color="auto"/>
              <w:right w:val="single" w:sz="4" w:space="0" w:color="auto"/>
            </w:tcBorders>
            <w:shd w:val="clear" w:color="auto" w:fill="auto"/>
            <w:vAlign w:val="bottom"/>
            <w:hideMark/>
          </w:tcPr>
          <w:p w14:paraId="45745EA1"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3,010,232 </w:t>
            </w:r>
          </w:p>
        </w:tc>
        <w:tc>
          <w:tcPr>
            <w:tcW w:w="1635" w:type="dxa"/>
            <w:tcBorders>
              <w:top w:val="nil"/>
              <w:left w:val="nil"/>
              <w:bottom w:val="single" w:sz="4" w:space="0" w:color="auto"/>
              <w:right w:val="single" w:sz="4" w:space="0" w:color="auto"/>
            </w:tcBorders>
            <w:shd w:val="clear" w:color="auto" w:fill="auto"/>
            <w:vAlign w:val="bottom"/>
            <w:hideMark/>
          </w:tcPr>
          <w:p w14:paraId="1C5F1684"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-5.5</w:t>
            </w:r>
          </w:p>
        </w:tc>
      </w:tr>
      <w:tr w:rsidR="005A4D98" w:rsidRPr="00F04FD7" w14:paraId="7B671C36" w14:textId="77777777" w:rsidTr="003727D3">
        <w:trPr>
          <w:trHeight w:val="260"/>
        </w:trPr>
        <w:tc>
          <w:tcPr>
            <w:tcW w:w="960" w:type="dxa"/>
            <w:tcBorders>
              <w:top w:val="nil"/>
              <w:left w:val="single" w:sz="4" w:space="0" w:color="auto"/>
              <w:bottom w:val="single" w:sz="4" w:space="0" w:color="auto"/>
              <w:right w:val="single" w:sz="4" w:space="0" w:color="auto"/>
            </w:tcBorders>
            <w:shd w:val="clear" w:color="auto" w:fill="FFFF00"/>
            <w:vAlign w:val="bottom"/>
          </w:tcPr>
          <w:p w14:paraId="16253902" w14:textId="44B2D16E"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70</w:t>
            </w:r>
          </w:p>
        </w:tc>
        <w:tc>
          <w:tcPr>
            <w:tcW w:w="960" w:type="dxa"/>
            <w:tcBorders>
              <w:top w:val="nil"/>
              <w:left w:val="single" w:sz="4" w:space="0" w:color="auto"/>
              <w:bottom w:val="single" w:sz="4" w:space="0" w:color="auto"/>
              <w:right w:val="single" w:sz="4" w:space="0" w:color="auto"/>
            </w:tcBorders>
            <w:shd w:val="clear" w:color="auto" w:fill="FFFF00"/>
            <w:noWrap/>
            <w:vAlign w:val="bottom"/>
          </w:tcPr>
          <w:p w14:paraId="2C06C327" w14:textId="49D3BF3B"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5</w:t>
            </w:r>
          </w:p>
        </w:tc>
        <w:tc>
          <w:tcPr>
            <w:tcW w:w="3060" w:type="dxa"/>
            <w:tcBorders>
              <w:top w:val="nil"/>
              <w:left w:val="nil"/>
              <w:bottom w:val="single" w:sz="4" w:space="0" w:color="auto"/>
              <w:right w:val="single" w:sz="4" w:space="0" w:color="auto"/>
            </w:tcBorders>
            <w:shd w:val="clear" w:color="auto" w:fill="FFFF00"/>
            <w:vAlign w:val="bottom"/>
            <w:hideMark/>
          </w:tcPr>
          <w:p w14:paraId="1A7972AE"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Los Angeles County</w:t>
            </w:r>
          </w:p>
        </w:tc>
        <w:tc>
          <w:tcPr>
            <w:tcW w:w="2005" w:type="dxa"/>
            <w:tcBorders>
              <w:top w:val="nil"/>
              <w:left w:val="nil"/>
              <w:bottom w:val="single" w:sz="4" w:space="0" w:color="auto"/>
              <w:right w:val="single" w:sz="4" w:space="0" w:color="auto"/>
            </w:tcBorders>
            <w:shd w:val="clear" w:color="auto" w:fill="FFFF00"/>
            <w:vAlign w:val="bottom"/>
            <w:hideMark/>
          </w:tcPr>
          <w:p w14:paraId="403149F0"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9,818,605 </w:t>
            </w:r>
          </w:p>
        </w:tc>
        <w:tc>
          <w:tcPr>
            <w:tcW w:w="1635" w:type="dxa"/>
            <w:tcBorders>
              <w:top w:val="nil"/>
              <w:left w:val="nil"/>
              <w:bottom w:val="single" w:sz="4" w:space="0" w:color="auto"/>
              <w:right w:val="single" w:sz="4" w:space="0" w:color="auto"/>
            </w:tcBorders>
            <w:shd w:val="clear" w:color="auto" w:fill="FFFF00"/>
            <w:vAlign w:val="bottom"/>
            <w:hideMark/>
          </w:tcPr>
          <w:p w14:paraId="3DEE5607"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-5.4</w:t>
            </w:r>
          </w:p>
        </w:tc>
      </w:tr>
      <w:tr w:rsidR="005A4D98" w:rsidRPr="00F04FD7" w14:paraId="26EE6F23" w14:textId="77777777" w:rsidTr="003727D3">
        <w:trPr>
          <w:trHeight w:val="260"/>
        </w:trPr>
        <w:tc>
          <w:tcPr>
            <w:tcW w:w="960" w:type="dxa"/>
            <w:tcBorders>
              <w:top w:val="nil"/>
              <w:left w:val="single" w:sz="4" w:space="0" w:color="auto"/>
              <w:bottom w:val="single" w:sz="4" w:space="0" w:color="auto"/>
              <w:right w:val="single" w:sz="4" w:space="0" w:color="auto"/>
            </w:tcBorders>
            <w:shd w:val="clear" w:color="auto" w:fill="FFFF00"/>
            <w:vAlign w:val="bottom"/>
          </w:tcPr>
          <w:p w14:paraId="45A5D4D3" w14:textId="1B194A98"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86</w:t>
            </w:r>
          </w:p>
        </w:tc>
        <w:tc>
          <w:tcPr>
            <w:tcW w:w="960" w:type="dxa"/>
            <w:tcBorders>
              <w:top w:val="nil"/>
              <w:left w:val="single" w:sz="4" w:space="0" w:color="auto"/>
              <w:bottom w:val="single" w:sz="4" w:space="0" w:color="auto"/>
              <w:right w:val="single" w:sz="4" w:space="0" w:color="auto"/>
            </w:tcBorders>
            <w:shd w:val="clear" w:color="auto" w:fill="FFFF00"/>
            <w:noWrap/>
            <w:vAlign w:val="bottom"/>
          </w:tcPr>
          <w:p w14:paraId="3DB2435F" w14:textId="761837E2"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6</w:t>
            </w:r>
          </w:p>
        </w:tc>
        <w:tc>
          <w:tcPr>
            <w:tcW w:w="3060" w:type="dxa"/>
            <w:tcBorders>
              <w:top w:val="nil"/>
              <w:left w:val="nil"/>
              <w:bottom w:val="single" w:sz="4" w:space="0" w:color="auto"/>
              <w:right w:val="single" w:sz="4" w:space="0" w:color="auto"/>
            </w:tcBorders>
            <w:shd w:val="clear" w:color="auto" w:fill="FFFF00"/>
            <w:vAlign w:val="bottom"/>
            <w:hideMark/>
          </w:tcPr>
          <w:p w14:paraId="7ACF61CF"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Ventura County</w:t>
            </w:r>
          </w:p>
        </w:tc>
        <w:tc>
          <w:tcPr>
            <w:tcW w:w="2005" w:type="dxa"/>
            <w:tcBorders>
              <w:top w:val="nil"/>
              <w:left w:val="nil"/>
              <w:bottom w:val="single" w:sz="4" w:space="0" w:color="auto"/>
              <w:right w:val="single" w:sz="4" w:space="0" w:color="auto"/>
            </w:tcBorders>
            <w:shd w:val="clear" w:color="auto" w:fill="FFFF00"/>
            <w:vAlign w:val="bottom"/>
            <w:hideMark/>
          </w:tcPr>
          <w:p w14:paraId="00E83B4A"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823,318 </w:t>
            </w:r>
          </w:p>
        </w:tc>
        <w:tc>
          <w:tcPr>
            <w:tcW w:w="1635" w:type="dxa"/>
            <w:tcBorders>
              <w:top w:val="nil"/>
              <w:left w:val="nil"/>
              <w:bottom w:val="single" w:sz="4" w:space="0" w:color="auto"/>
              <w:right w:val="single" w:sz="4" w:space="0" w:color="auto"/>
            </w:tcBorders>
            <w:shd w:val="clear" w:color="auto" w:fill="FFFF00"/>
            <w:vAlign w:val="bottom"/>
            <w:hideMark/>
          </w:tcPr>
          <w:p w14:paraId="68372760"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-4.9</w:t>
            </w:r>
          </w:p>
        </w:tc>
      </w:tr>
      <w:tr w:rsidR="005A4D98" w:rsidRPr="00F04FD7" w14:paraId="674AF49D"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5DAC157C" w14:textId="344F76B2"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98</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242A47D1" w14:textId="1A24D7E2"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7</w:t>
            </w:r>
          </w:p>
        </w:tc>
        <w:tc>
          <w:tcPr>
            <w:tcW w:w="3060" w:type="dxa"/>
            <w:tcBorders>
              <w:top w:val="nil"/>
              <w:left w:val="nil"/>
              <w:bottom w:val="single" w:sz="4" w:space="0" w:color="auto"/>
              <w:right w:val="single" w:sz="4" w:space="0" w:color="auto"/>
            </w:tcBorders>
            <w:shd w:val="clear" w:color="auto" w:fill="auto"/>
            <w:vAlign w:val="bottom"/>
            <w:hideMark/>
          </w:tcPr>
          <w:p w14:paraId="0511D5F3"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Monterey County</w:t>
            </w:r>
          </w:p>
        </w:tc>
        <w:tc>
          <w:tcPr>
            <w:tcW w:w="2005" w:type="dxa"/>
            <w:tcBorders>
              <w:top w:val="nil"/>
              <w:left w:val="nil"/>
              <w:bottom w:val="single" w:sz="4" w:space="0" w:color="auto"/>
              <w:right w:val="single" w:sz="4" w:space="0" w:color="auto"/>
            </w:tcBorders>
            <w:shd w:val="clear" w:color="auto" w:fill="auto"/>
            <w:vAlign w:val="bottom"/>
            <w:hideMark/>
          </w:tcPr>
          <w:p w14:paraId="18498786"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415,057 </w:t>
            </w:r>
          </w:p>
        </w:tc>
        <w:tc>
          <w:tcPr>
            <w:tcW w:w="1635" w:type="dxa"/>
            <w:tcBorders>
              <w:top w:val="nil"/>
              <w:left w:val="nil"/>
              <w:bottom w:val="single" w:sz="4" w:space="0" w:color="auto"/>
              <w:right w:val="single" w:sz="4" w:space="0" w:color="auto"/>
            </w:tcBorders>
            <w:shd w:val="clear" w:color="auto" w:fill="auto"/>
            <w:vAlign w:val="bottom"/>
            <w:hideMark/>
          </w:tcPr>
          <w:p w14:paraId="57E0D4A7"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-4.5</w:t>
            </w:r>
          </w:p>
        </w:tc>
      </w:tr>
      <w:tr w:rsidR="005A4D98" w:rsidRPr="00F04FD7" w14:paraId="1DBF2A3E"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66AA39AC" w14:textId="67895D75"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113</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1972518" w14:textId="127AB978"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8</w:t>
            </w:r>
          </w:p>
        </w:tc>
        <w:tc>
          <w:tcPr>
            <w:tcW w:w="3060" w:type="dxa"/>
            <w:tcBorders>
              <w:top w:val="nil"/>
              <w:left w:val="nil"/>
              <w:bottom w:val="single" w:sz="4" w:space="0" w:color="auto"/>
              <w:right w:val="single" w:sz="4" w:space="0" w:color="auto"/>
            </w:tcBorders>
            <w:shd w:val="clear" w:color="auto" w:fill="auto"/>
            <w:vAlign w:val="bottom"/>
            <w:hideMark/>
          </w:tcPr>
          <w:p w14:paraId="5E76DF6F"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Santa Clara County</w:t>
            </w:r>
          </w:p>
        </w:tc>
        <w:tc>
          <w:tcPr>
            <w:tcW w:w="2005" w:type="dxa"/>
            <w:tcBorders>
              <w:top w:val="nil"/>
              <w:left w:val="nil"/>
              <w:bottom w:val="single" w:sz="4" w:space="0" w:color="auto"/>
              <w:right w:val="single" w:sz="4" w:space="0" w:color="auto"/>
            </w:tcBorders>
            <w:shd w:val="clear" w:color="auto" w:fill="auto"/>
            <w:vAlign w:val="bottom"/>
            <w:hideMark/>
          </w:tcPr>
          <w:p w14:paraId="11669DBD"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1,781,642 </w:t>
            </w:r>
          </w:p>
        </w:tc>
        <w:tc>
          <w:tcPr>
            <w:tcW w:w="1635" w:type="dxa"/>
            <w:tcBorders>
              <w:top w:val="nil"/>
              <w:left w:val="nil"/>
              <w:bottom w:val="single" w:sz="4" w:space="0" w:color="auto"/>
              <w:right w:val="single" w:sz="4" w:space="0" w:color="auto"/>
            </w:tcBorders>
            <w:shd w:val="clear" w:color="auto" w:fill="auto"/>
            <w:vAlign w:val="bottom"/>
            <w:hideMark/>
          </w:tcPr>
          <w:p w14:paraId="28BE0B2B"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-4.1</w:t>
            </w:r>
          </w:p>
        </w:tc>
      </w:tr>
      <w:tr w:rsidR="005A4D98" w:rsidRPr="00F04FD7" w14:paraId="58922A7A"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05DBDD74" w14:textId="1BD346B2"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127</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9C45A26" w14:textId="0929E532"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9</w:t>
            </w:r>
          </w:p>
        </w:tc>
        <w:tc>
          <w:tcPr>
            <w:tcW w:w="3060" w:type="dxa"/>
            <w:tcBorders>
              <w:top w:val="nil"/>
              <w:left w:val="nil"/>
              <w:bottom w:val="single" w:sz="4" w:space="0" w:color="auto"/>
              <w:right w:val="single" w:sz="4" w:space="0" w:color="auto"/>
            </w:tcBorders>
            <w:shd w:val="clear" w:color="auto" w:fill="auto"/>
            <w:vAlign w:val="bottom"/>
            <w:hideMark/>
          </w:tcPr>
          <w:p w14:paraId="0CC3448A"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 Francisco County</w:t>
            </w:r>
          </w:p>
        </w:tc>
        <w:tc>
          <w:tcPr>
            <w:tcW w:w="2005" w:type="dxa"/>
            <w:tcBorders>
              <w:top w:val="nil"/>
              <w:left w:val="nil"/>
              <w:bottom w:val="single" w:sz="4" w:space="0" w:color="auto"/>
              <w:right w:val="single" w:sz="4" w:space="0" w:color="auto"/>
            </w:tcBorders>
            <w:shd w:val="clear" w:color="auto" w:fill="auto"/>
            <w:vAlign w:val="bottom"/>
            <w:hideMark/>
          </w:tcPr>
          <w:p w14:paraId="3A2928B7"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805,235 </w:t>
            </w:r>
          </w:p>
        </w:tc>
        <w:tc>
          <w:tcPr>
            <w:tcW w:w="1635" w:type="dxa"/>
            <w:tcBorders>
              <w:top w:val="nil"/>
              <w:left w:val="nil"/>
              <w:bottom w:val="single" w:sz="4" w:space="0" w:color="auto"/>
              <w:right w:val="single" w:sz="4" w:space="0" w:color="auto"/>
            </w:tcBorders>
            <w:shd w:val="clear" w:color="auto" w:fill="auto"/>
            <w:vAlign w:val="bottom"/>
            <w:hideMark/>
          </w:tcPr>
          <w:p w14:paraId="580BD25D"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-3.9</w:t>
            </w:r>
          </w:p>
        </w:tc>
      </w:tr>
      <w:tr w:rsidR="005A4D98" w:rsidRPr="00F04FD7" w14:paraId="38242A60"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3AA648D2" w14:textId="134BD171"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132</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7A746B59" w14:textId="6EA81D5D"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10</w:t>
            </w:r>
          </w:p>
        </w:tc>
        <w:tc>
          <w:tcPr>
            <w:tcW w:w="3060" w:type="dxa"/>
            <w:tcBorders>
              <w:top w:val="nil"/>
              <w:left w:val="nil"/>
              <w:bottom w:val="single" w:sz="4" w:space="0" w:color="auto"/>
              <w:right w:val="single" w:sz="4" w:space="0" w:color="auto"/>
            </w:tcBorders>
            <w:shd w:val="clear" w:color="auto" w:fill="auto"/>
            <w:vAlign w:val="bottom"/>
            <w:hideMark/>
          </w:tcPr>
          <w:p w14:paraId="5F473E26"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Placer County</w:t>
            </w:r>
          </w:p>
        </w:tc>
        <w:tc>
          <w:tcPr>
            <w:tcW w:w="2005" w:type="dxa"/>
            <w:tcBorders>
              <w:top w:val="nil"/>
              <w:left w:val="nil"/>
              <w:bottom w:val="single" w:sz="4" w:space="0" w:color="auto"/>
              <w:right w:val="single" w:sz="4" w:space="0" w:color="auto"/>
            </w:tcBorders>
            <w:shd w:val="clear" w:color="auto" w:fill="auto"/>
            <w:vAlign w:val="bottom"/>
            <w:hideMark/>
          </w:tcPr>
          <w:p w14:paraId="4B282BB8"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348,432 </w:t>
            </w:r>
          </w:p>
        </w:tc>
        <w:tc>
          <w:tcPr>
            <w:tcW w:w="1635" w:type="dxa"/>
            <w:tcBorders>
              <w:top w:val="nil"/>
              <w:left w:val="nil"/>
              <w:bottom w:val="single" w:sz="4" w:space="0" w:color="auto"/>
              <w:right w:val="single" w:sz="4" w:space="0" w:color="auto"/>
            </w:tcBorders>
            <w:shd w:val="clear" w:color="auto" w:fill="auto"/>
            <w:vAlign w:val="bottom"/>
            <w:hideMark/>
          </w:tcPr>
          <w:p w14:paraId="5F220B9B"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-3.8</w:t>
            </w:r>
          </w:p>
        </w:tc>
      </w:tr>
      <w:tr w:rsidR="005A4D98" w:rsidRPr="00F04FD7" w14:paraId="2A7A9C2F"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16A66ECF" w14:textId="5EAE870F"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153</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E7A8262" w14:textId="14F75E02"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11</w:t>
            </w:r>
          </w:p>
        </w:tc>
        <w:tc>
          <w:tcPr>
            <w:tcW w:w="3060" w:type="dxa"/>
            <w:tcBorders>
              <w:top w:val="nil"/>
              <w:left w:val="nil"/>
              <w:bottom w:val="single" w:sz="4" w:space="0" w:color="auto"/>
              <w:right w:val="single" w:sz="4" w:space="0" w:color="auto"/>
            </w:tcBorders>
            <w:shd w:val="clear" w:color="auto" w:fill="auto"/>
            <w:vAlign w:val="bottom"/>
            <w:hideMark/>
          </w:tcPr>
          <w:p w14:paraId="1CE8DDD1"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Alameda County</w:t>
            </w:r>
          </w:p>
        </w:tc>
        <w:tc>
          <w:tcPr>
            <w:tcW w:w="2005" w:type="dxa"/>
            <w:tcBorders>
              <w:top w:val="nil"/>
              <w:left w:val="nil"/>
              <w:bottom w:val="single" w:sz="4" w:space="0" w:color="auto"/>
              <w:right w:val="single" w:sz="4" w:space="0" w:color="auto"/>
            </w:tcBorders>
            <w:shd w:val="clear" w:color="auto" w:fill="auto"/>
            <w:vAlign w:val="bottom"/>
            <w:hideMark/>
          </w:tcPr>
          <w:p w14:paraId="2C926A34"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1,510,271 </w:t>
            </w:r>
          </w:p>
        </w:tc>
        <w:tc>
          <w:tcPr>
            <w:tcW w:w="1635" w:type="dxa"/>
            <w:tcBorders>
              <w:top w:val="nil"/>
              <w:left w:val="nil"/>
              <w:bottom w:val="single" w:sz="4" w:space="0" w:color="auto"/>
              <w:right w:val="single" w:sz="4" w:space="0" w:color="auto"/>
            </w:tcBorders>
            <w:shd w:val="clear" w:color="auto" w:fill="auto"/>
            <w:vAlign w:val="bottom"/>
            <w:hideMark/>
          </w:tcPr>
          <w:p w14:paraId="0801071D"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-3.3</w:t>
            </w:r>
          </w:p>
        </w:tc>
      </w:tr>
      <w:tr w:rsidR="005A4D98" w:rsidRPr="00F04FD7" w14:paraId="2259FF54"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32ED00FE" w14:textId="68802E54"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158</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CC676D7" w14:textId="14109A37"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12</w:t>
            </w:r>
          </w:p>
        </w:tc>
        <w:tc>
          <w:tcPr>
            <w:tcW w:w="3060" w:type="dxa"/>
            <w:tcBorders>
              <w:top w:val="nil"/>
              <w:left w:val="nil"/>
              <w:bottom w:val="single" w:sz="4" w:space="0" w:color="auto"/>
              <w:right w:val="single" w:sz="4" w:space="0" w:color="auto"/>
            </w:tcBorders>
            <w:shd w:val="clear" w:color="auto" w:fill="auto"/>
            <w:vAlign w:val="bottom"/>
            <w:hideMark/>
          </w:tcPr>
          <w:p w14:paraId="24C9DFB0"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Riverside County</w:t>
            </w:r>
          </w:p>
        </w:tc>
        <w:tc>
          <w:tcPr>
            <w:tcW w:w="2005" w:type="dxa"/>
            <w:tcBorders>
              <w:top w:val="nil"/>
              <w:left w:val="nil"/>
              <w:bottom w:val="single" w:sz="4" w:space="0" w:color="auto"/>
              <w:right w:val="single" w:sz="4" w:space="0" w:color="auto"/>
            </w:tcBorders>
            <w:shd w:val="clear" w:color="auto" w:fill="auto"/>
            <w:vAlign w:val="bottom"/>
            <w:hideMark/>
          </w:tcPr>
          <w:p w14:paraId="6F9724A6"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2,189,641 </w:t>
            </w:r>
          </w:p>
        </w:tc>
        <w:tc>
          <w:tcPr>
            <w:tcW w:w="1635" w:type="dxa"/>
            <w:tcBorders>
              <w:top w:val="nil"/>
              <w:left w:val="nil"/>
              <w:bottom w:val="single" w:sz="4" w:space="0" w:color="auto"/>
              <w:right w:val="single" w:sz="4" w:space="0" w:color="auto"/>
            </w:tcBorders>
            <w:shd w:val="clear" w:color="auto" w:fill="auto"/>
            <w:vAlign w:val="bottom"/>
            <w:hideMark/>
          </w:tcPr>
          <w:p w14:paraId="1465D99C"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-3.2</w:t>
            </w:r>
          </w:p>
        </w:tc>
      </w:tr>
      <w:tr w:rsidR="005A4D98" w:rsidRPr="00F04FD7" w14:paraId="74287B62" w14:textId="77777777" w:rsidTr="003727D3">
        <w:trPr>
          <w:trHeight w:val="260"/>
        </w:trPr>
        <w:tc>
          <w:tcPr>
            <w:tcW w:w="960" w:type="dxa"/>
            <w:tcBorders>
              <w:top w:val="nil"/>
              <w:left w:val="single" w:sz="4" w:space="0" w:color="auto"/>
              <w:bottom w:val="single" w:sz="4" w:space="0" w:color="auto"/>
              <w:right w:val="single" w:sz="4" w:space="0" w:color="auto"/>
            </w:tcBorders>
            <w:shd w:val="clear" w:color="auto" w:fill="FFFF00"/>
            <w:vAlign w:val="bottom"/>
          </w:tcPr>
          <w:p w14:paraId="7F0B1B98" w14:textId="187E2B3A"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174</w:t>
            </w:r>
          </w:p>
        </w:tc>
        <w:tc>
          <w:tcPr>
            <w:tcW w:w="960" w:type="dxa"/>
            <w:tcBorders>
              <w:top w:val="nil"/>
              <w:left w:val="single" w:sz="4" w:space="0" w:color="auto"/>
              <w:bottom w:val="single" w:sz="4" w:space="0" w:color="auto"/>
              <w:right w:val="single" w:sz="4" w:space="0" w:color="auto"/>
            </w:tcBorders>
            <w:shd w:val="clear" w:color="auto" w:fill="FFFF00"/>
            <w:noWrap/>
            <w:vAlign w:val="bottom"/>
          </w:tcPr>
          <w:p w14:paraId="71A50232" w14:textId="756233BE"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13</w:t>
            </w:r>
          </w:p>
        </w:tc>
        <w:tc>
          <w:tcPr>
            <w:tcW w:w="3060" w:type="dxa"/>
            <w:tcBorders>
              <w:top w:val="nil"/>
              <w:left w:val="nil"/>
              <w:bottom w:val="single" w:sz="4" w:space="0" w:color="auto"/>
              <w:right w:val="single" w:sz="4" w:space="0" w:color="auto"/>
            </w:tcBorders>
            <w:shd w:val="clear" w:color="auto" w:fill="FFFF00"/>
            <w:vAlign w:val="bottom"/>
            <w:hideMark/>
          </w:tcPr>
          <w:p w14:paraId="62521958"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Fresno County</w:t>
            </w:r>
          </w:p>
        </w:tc>
        <w:tc>
          <w:tcPr>
            <w:tcW w:w="2005" w:type="dxa"/>
            <w:tcBorders>
              <w:top w:val="nil"/>
              <w:left w:val="nil"/>
              <w:bottom w:val="single" w:sz="4" w:space="0" w:color="auto"/>
              <w:right w:val="single" w:sz="4" w:space="0" w:color="auto"/>
            </w:tcBorders>
            <w:shd w:val="clear" w:color="auto" w:fill="FFFF00"/>
            <w:vAlign w:val="bottom"/>
            <w:hideMark/>
          </w:tcPr>
          <w:p w14:paraId="02A33571"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930,450 </w:t>
            </w:r>
          </w:p>
        </w:tc>
        <w:tc>
          <w:tcPr>
            <w:tcW w:w="1635" w:type="dxa"/>
            <w:tcBorders>
              <w:top w:val="nil"/>
              <w:left w:val="nil"/>
              <w:bottom w:val="single" w:sz="4" w:space="0" w:color="auto"/>
              <w:right w:val="single" w:sz="4" w:space="0" w:color="auto"/>
            </w:tcBorders>
            <w:shd w:val="clear" w:color="auto" w:fill="FFFF00"/>
            <w:vAlign w:val="bottom"/>
            <w:hideMark/>
          </w:tcPr>
          <w:p w14:paraId="4A45D5D0"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-2.8</w:t>
            </w:r>
          </w:p>
        </w:tc>
      </w:tr>
      <w:tr w:rsidR="005A4D98" w:rsidRPr="00F04FD7" w14:paraId="79002AA5"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5CFD2E30" w14:textId="3B4D1A53"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180</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01241E2" w14:textId="54374CEC"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14</w:t>
            </w:r>
          </w:p>
        </w:tc>
        <w:tc>
          <w:tcPr>
            <w:tcW w:w="3060" w:type="dxa"/>
            <w:tcBorders>
              <w:top w:val="nil"/>
              <w:left w:val="nil"/>
              <w:bottom w:val="single" w:sz="4" w:space="0" w:color="auto"/>
              <w:right w:val="single" w:sz="4" w:space="0" w:color="auto"/>
            </w:tcBorders>
            <w:shd w:val="clear" w:color="auto" w:fill="auto"/>
            <w:vAlign w:val="bottom"/>
            <w:hideMark/>
          </w:tcPr>
          <w:p w14:paraId="67764880"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Solano County</w:t>
            </w:r>
          </w:p>
        </w:tc>
        <w:tc>
          <w:tcPr>
            <w:tcW w:w="2005" w:type="dxa"/>
            <w:tcBorders>
              <w:top w:val="nil"/>
              <w:left w:val="nil"/>
              <w:bottom w:val="single" w:sz="4" w:space="0" w:color="auto"/>
              <w:right w:val="single" w:sz="4" w:space="0" w:color="auto"/>
            </w:tcBorders>
            <w:shd w:val="clear" w:color="auto" w:fill="auto"/>
            <w:vAlign w:val="bottom"/>
            <w:hideMark/>
          </w:tcPr>
          <w:p w14:paraId="3FC848B1"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413,344 </w:t>
            </w:r>
          </w:p>
        </w:tc>
        <w:tc>
          <w:tcPr>
            <w:tcW w:w="1635" w:type="dxa"/>
            <w:tcBorders>
              <w:top w:val="nil"/>
              <w:left w:val="nil"/>
              <w:bottom w:val="single" w:sz="4" w:space="0" w:color="auto"/>
              <w:right w:val="single" w:sz="4" w:space="0" w:color="auto"/>
            </w:tcBorders>
            <w:shd w:val="clear" w:color="auto" w:fill="auto"/>
            <w:vAlign w:val="bottom"/>
            <w:hideMark/>
          </w:tcPr>
          <w:p w14:paraId="01998140"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-2.7</w:t>
            </w:r>
          </w:p>
        </w:tc>
      </w:tr>
      <w:tr w:rsidR="005A4D98" w:rsidRPr="00F04FD7" w14:paraId="40E214FB"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2A4AB7C5" w14:textId="17F7BC38"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184</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1670F734" w14:textId="4BDB8E9D"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15</w:t>
            </w:r>
          </w:p>
        </w:tc>
        <w:tc>
          <w:tcPr>
            <w:tcW w:w="3060" w:type="dxa"/>
            <w:tcBorders>
              <w:top w:val="nil"/>
              <w:left w:val="nil"/>
              <w:bottom w:val="single" w:sz="4" w:space="0" w:color="auto"/>
              <w:right w:val="single" w:sz="4" w:space="0" w:color="auto"/>
            </w:tcBorders>
            <w:shd w:val="clear" w:color="auto" w:fill="auto"/>
            <w:vAlign w:val="bottom"/>
            <w:hideMark/>
          </w:tcPr>
          <w:p w14:paraId="06C83D44"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Sacramento County</w:t>
            </w:r>
          </w:p>
        </w:tc>
        <w:tc>
          <w:tcPr>
            <w:tcW w:w="2005" w:type="dxa"/>
            <w:tcBorders>
              <w:top w:val="nil"/>
              <w:left w:val="nil"/>
              <w:bottom w:val="single" w:sz="4" w:space="0" w:color="auto"/>
              <w:right w:val="single" w:sz="4" w:space="0" w:color="auto"/>
            </w:tcBorders>
            <w:shd w:val="clear" w:color="auto" w:fill="auto"/>
            <w:vAlign w:val="bottom"/>
            <w:hideMark/>
          </w:tcPr>
          <w:p w14:paraId="4AE31618"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1,418,788 </w:t>
            </w:r>
          </w:p>
        </w:tc>
        <w:tc>
          <w:tcPr>
            <w:tcW w:w="1635" w:type="dxa"/>
            <w:tcBorders>
              <w:top w:val="nil"/>
              <w:left w:val="nil"/>
              <w:bottom w:val="single" w:sz="4" w:space="0" w:color="auto"/>
              <w:right w:val="single" w:sz="4" w:space="0" w:color="auto"/>
            </w:tcBorders>
            <w:shd w:val="clear" w:color="auto" w:fill="auto"/>
            <w:vAlign w:val="bottom"/>
            <w:hideMark/>
          </w:tcPr>
          <w:p w14:paraId="04D37FFF"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-2.6</w:t>
            </w:r>
          </w:p>
        </w:tc>
      </w:tr>
      <w:tr w:rsidR="005A4D98" w:rsidRPr="00F04FD7" w14:paraId="68EAD607" w14:textId="77777777" w:rsidTr="003727D3">
        <w:trPr>
          <w:trHeight w:val="260"/>
        </w:trPr>
        <w:tc>
          <w:tcPr>
            <w:tcW w:w="960" w:type="dxa"/>
            <w:tcBorders>
              <w:top w:val="nil"/>
              <w:left w:val="single" w:sz="4" w:space="0" w:color="auto"/>
              <w:bottom w:val="single" w:sz="4" w:space="0" w:color="auto"/>
              <w:right w:val="single" w:sz="4" w:space="0" w:color="auto"/>
            </w:tcBorders>
            <w:shd w:val="clear" w:color="auto" w:fill="FFFF00"/>
            <w:vAlign w:val="bottom"/>
          </w:tcPr>
          <w:p w14:paraId="26E4818C" w14:textId="15FC708F"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185</w:t>
            </w:r>
          </w:p>
        </w:tc>
        <w:tc>
          <w:tcPr>
            <w:tcW w:w="960" w:type="dxa"/>
            <w:tcBorders>
              <w:top w:val="nil"/>
              <w:left w:val="single" w:sz="4" w:space="0" w:color="auto"/>
              <w:bottom w:val="single" w:sz="4" w:space="0" w:color="auto"/>
              <w:right w:val="single" w:sz="4" w:space="0" w:color="auto"/>
            </w:tcBorders>
            <w:shd w:val="clear" w:color="auto" w:fill="FFFF00"/>
            <w:noWrap/>
            <w:vAlign w:val="bottom"/>
          </w:tcPr>
          <w:p w14:paraId="3C4BB5A1" w14:textId="79A980D7"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16</w:t>
            </w:r>
          </w:p>
        </w:tc>
        <w:tc>
          <w:tcPr>
            <w:tcW w:w="3060" w:type="dxa"/>
            <w:tcBorders>
              <w:top w:val="nil"/>
              <w:left w:val="nil"/>
              <w:bottom w:val="single" w:sz="4" w:space="0" w:color="auto"/>
              <w:right w:val="single" w:sz="4" w:space="0" w:color="auto"/>
            </w:tcBorders>
            <w:shd w:val="clear" w:color="auto" w:fill="FFFF00"/>
            <w:vAlign w:val="bottom"/>
            <w:hideMark/>
          </w:tcPr>
          <w:p w14:paraId="3F83B02A"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 Joaquin County</w:t>
            </w:r>
          </w:p>
        </w:tc>
        <w:tc>
          <w:tcPr>
            <w:tcW w:w="2005" w:type="dxa"/>
            <w:tcBorders>
              <w:top w:val="nil"/>
              <w:left w:val="nil"/>
              <w:bottom w:val="single" w:sz="4" w:space="0" w:color="auto"/>
              <w:right w:val="single" w:sz="4" w:space="0" w:color="auto"/>
            </w:tcBorders>
            <w:shd w:val="clear" w:color="auto" w:fill="FFFF00"/>
            <w:vAlign w:val="bottom"/>
            <w:hideMark/>
          </w:tcPr>
          <w:p w14:paraId="3A0A0A75"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685,306 </w:t>
            </w:r>
          </w:p>
        </w:tc>
        <w:tc>
          <w:tcPr>
            <w:tcW w:w="1635" w:type="dxa"/>
            <w:tcBorders>
              <w:top w:val="nil"/>
              <w:left w:val="nil"/>
              <w:bottom w:val="single" w:sz="4" w:space="0" w:color="auto"/>
              <w:right w:val="single" w:sz="4" w:space="0" w:color="auto"/>
            </w:tcBorders>
            <w:shd w:val="clear" w:color="auto" w:fill="FFFF00"/>
            <w:vAlign w:val="bottom"/>
            <w:hideMark/>
          </w:tcPr>
          <w:p w14:paraId="2E40041F"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-2.5</w:t>
            </w:r>
          </w:p>
        </w:tc>
      </w:tr>
      <w:tr w:rsidR="005A4D98" w:rsidRPr="00F04FD7" w14:paraId="2414B461"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7379A0C5" w14:textId="1076EAFB"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198</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1421B04C" w14:textId="5BCD109D"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17</w:t>
            </w:r>
          </w:p>
        </w:tc>
        <w:tc>
          <w:tcPr>
            <w:tcW w:w="3060" w:type="dxa"/>
            <w:tcBorders>
              <w:top w:val="nil"/>
              <w:left w:val="nil"/>
              <w:bottom w:val="single" w:sz="4" w:space="0" w:color="auto"/>
              <w:right w:val="single" w:sz="4" w:space="0" w:color="auto"/>
            </w:tcBorders>
            <w:shd w:val="clear" w:color="auto" w:fill="auto"/>
            <w:vAlign w:val="bottom"/>
            <w:hideMark/>
          </w:tcPr>
          <w:p w14:paraId="6B7520B5"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 Bernardino County</w:t>
            </w:r>
          </w:p>
        </w:tc>
        <w:tc>
          <w:tcPr>
            <w:tcW w:w="2005" w:type="dxa"/>
            <w:tcBorders>
              <w:top w:val="nil"/>
              <w:left w:val="nil"/>
              <w:bottom w:val="single" w:sz="4" w:space="0" w:color="auto"/>
              <w:right w:val="single" w:sz="4" w:space="0" w:color="auto"/>
            </w:tcBorders>
            <w:shd w:val="clear" w:color="auto" w:fill="auto"/>
            <w:vAlign w:val="bottom"/>
            <w:hideMark/>
          </w:tcPr>
          <w:p w14:paraId="0774BC70"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2,035,210 </w:t>
            </w:r>
          </w:p>
        </w:tc>
        <w:tc>
          <w:tcPr>
            <w:tcW w:w="1635" w:type="dxa"/>
            <w:tcBorders>
              <w:top w:val="nil"/>
              <w:left w:val="nil"/>
              <w:bottom w:val="single" w:sz="4" w:space="0" w:color="auto"/>
              <w:right w:val="single" w:sz="4" w:space="0" w:color="auto"/>
            </w:tcBorders>
            <w:shd w:val="clear" w:color="auto" w:fill="auto"/>
            <w:vAlign w:val="bottom"/>
            <w:hideMark/>
          </w:tcPr>
          <w:p w14:paraId="246DD1C2"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-2.2</w:t>
            </w:r>
          </w:p>
        </w:tc>
      </w:tr>
      <w:tr w:rsidR="005A4D98" w:rsidRPr="00F04FD7" w14:paraId="6D5FC81D" w14:textId="77777777" w:rsidTr="003727D3">
        <w:trPr>
          <w:trHeight w:val="260"/>
        </w:trPr>
        <w:tc>
          <w:tcPr>
            <w:tcW w:w="960" w:type="dxa"/>
            <w:tcBorders>
              <w:top w:val="nil"/>
              <w:left w:val="single" w:sz="4" w:space="0" w:color="auto"/>
              <w:bottom w:val="single" w:sz="4" w:space="0" w:color="auto"/>
              <w:right w:val="single" w:sz="4" w:space="0" w:color="auto"/>
            </w:tcBorders>
            <w:shd w:val="clear" w:color="auto" w:fill="FFFF00"/>
            <w:vAlign w:val="bottom"/>
          </w:tcPr>
          <w:p w14:paraId="1F7D825E" w14:textId="3D21482B"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199</w:t>
            </w:r>
          </w:p>
        </w:tc>
        <w:tc>
          <w:tcPr>
            <w:tcW w:w="960" w:type="dxa"/>
            <w:tcBorders>
              <w:top w:val="nil"/>
              <w:left w:val="single" w:sz="4" w:space="0" w:color="auto"/>
              <w:bottom w:val="single" w:sz="4" w:space="0" w:color="auto"/>
              <w:right w:val="single" w:sz="4" w:space="0" w:color="auto"/>
            </w:tcBorders>
            <w:shd w:val="clear" w:color="auto" w:fill="FFFF00"/>
            <w:noWrap/>
            <w:vAlign w:val="bottom"/>
          </w:tcPr>
          <w:p w14:paraId="4958A9DB" w14:textId="4745C9BC"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18</w:t>
            </w:r>
          </w:p>
        </w:tc>
        <w:tc>
          <w:tcPr>
            <w:tcW w:w="3060" w:type="dxa"/>
            <w:tcBorders>
              <w:top w:val="nil"/>
              <w:left w:val="nil"/>
              <w:bottom w:val="single" w:sz="4" w:space="0" w:color="auto"/>
              <w:right w:val="single" w:sz="4" w:space="0" w:color="auto"/>
            </w:tcBorders>
            <w:shd w:val="clear" w:color="auto" w:fill="FFFF00"/>
            <w:vAlign w:val="bottom"/>
            <w:hideMark/>
          </w:tcPr>
          <w:p w14:paraId="69790E5F"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Stanislaus County</w:t>
            </w:r>
          </w:p>
        </w:tc>
        <w:tc>
          <w:tcPr>
            <w:tcW w:w="2005" w:type="dxa"/>
            <w:tcBorders>
              <w:top w:val="nil"/>
              <w:left w:val="nil"/>
              <w:bottom w:val="single" w:sz="4" w:space="0" w:color="auto"/>
              <w:right w:val="single" w:sz="4" w:space="0" w:color="auto"/>
            </w:tcBorders>
            <w:shd w:val="clear" w:color="auto" w:fill="FFFF00"/>
            <w:vAlign w:val="bottom"/>
            <w:hideMark/>
          </w:tcPr>
          <w:p w14:paraId="64294E37"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514,453 </w:t>
            </w:r>
          </w:p>
        </w:tc>
        <w:tc>
          <w:tcPr>
            <w:tcW w:w="1635" w:type="dxa"/>
            <w:tcBorders>
              <w:top w:val="nil"/>
              <w:left w:val="nil"/>
              <w:bottom w:val="single" w:sz="4" w:space="0" w:color="auto"/>
              <w:right w:val="single" w:sz="4" w:space="0" w:color="auto"/>
            </w:tcBorders>
            <w:shd w:val="clear" w:color="auto" w:fill="FFFF00"/>
            <w:vAlign w:val="bottom"/>
            <w:hideMark/>
          </w:tcPr>
          <w:p w14:paraId="1FAA8FEA"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-2.2</w:t>
            </w:r>
          </w:p>
        </w:tc>
      </w:tr>
      <w:tr w:rsidR="005A4D98" w:rsidRPr="00F04FD7" w14:paraId="64ADE808"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4F8B33AA" w14:textId="40DA812C"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201</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0E8D0503" w14:textId="0382BE94"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19</w:t>
            </w:r>
          </w:p>
        </w:tc>
        <w:tc>
          <w:tcPr>
            <w:tcW w:w="3060" w:type="dxa"/>
            <w:tcBorders>
              <w:top w:val="nil"/>
              <w:left w:val="nil"/>
              <w:bottom w:val="single" w:sz="4" w:space="0" w:color="auto"/>
              <w:right w:val="single" w:sz="4" w:space="0" w:color="auto"/>
            </w:tcBorders>
            <w:shd w:val="clear" w:color="auto" w:fill="auto"/>
            <w:vAlign w:val="bottom"/>
            <w:hideMark/>
          </w:tcPr>
          <w:p w14:paraId="5305FCF6"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Contra Costa County</w:t>
            </w:r>
          </w:p>
        </w:tc>
        <w:tc>
          <w:tcPr>
            <w:tcW w:w="2005" w:type="dxa"/>
            <w:tcBorders>
              <w:top w:val="nil"/>
              <w:left w:val="nil"/>
              <w:bottom w:val="single" w:sz="4" w:space="0" w:color="auto"/>
              <w:right w:val="single" w:sz="4" w:space="0" w:color="auto"/>
            </w:tcBorders>
            <w:shd w:val="clear" w:color="auto" w:fill="auto"/>
            <w:vAlign w:val="bottom"/>
            <w:hideMark/>
          </w:tcPr>
          <w:p w14:paraId="27C63E0A"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1,049,025 </w:t>
            </w:r>
          </w:p>
        </w:tc>
        <w:tc>
          <w:tcPr>
            <w:tcW w:w="1635" w:type="dxa"/>
            <w:tcBorders>
              <w:top w:val="nil"/>
              <w:left w:val="nil"/>
              <w:bottom w:val="single" w:sz="4" w:space="0" w:color="auto"/>
              <w:right w:val="single" w:sz="4" w:space="0" w:color="auto"/>
            </w:tcBorders>
            <w:shd w:val="clear" w:color="auto" w:fill="auto"/>
            <w:vAlign w:val="bottom"/>
            <w:hideMark/>
          </w:tcPr>
          <w:p w14:paraId="7B46C2D9"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-2.2</w:t>
            </w:r>
          </w:p>
        </w:tc>
      </w:tr>
      <w:tr w:rsidR="005A4D98" w:rsidRPr="00F04FD7" w14:paraId="04C443D8" w14:textId="77777777" w:rsidTr="003727D3">
        <w:trPr>
          <w:trHeight w:val="260"/>
        </w:trPr>
        <w:tc>
          <w:tcPr>
            <w:tcW w:w="960" w:type="dxa"/>
            <w:tcBorders>
              <w:top w:val="nil"/>
              <w:left w:val="single" w:sz="4" w:space="0" w:color="auto"/>
              <w:bottom w:val="single" w:sz="4" w:space="0" w:color="auto"/>
              <w:right w:val="single" w:sz="4" w:space="0" w:color="auto"/>
            </w:tcBorders>
            <w:shd w:val="clear" w:color="auto" w:fill="FFFF00"/>
            <w:vAlign w:val="bottom"/>
          </w:tcPr>
          <w:p w14:paraId="70BDF572" w14:textId="199A4FE0"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202</w:t>
            </w:r>
          </w:p>
        </w:tc>
        <w:tc>
          <w:tcPr>
            <w:tcW w:w="960" w:type="dxa"/>
            <w:tcBorders>
              <w:top w:val="nil"/>
              <w:left w:val="single" w:sz="4" w:space="0" w:color="auto"/>
              <w:bottom w:val="single" w:sz="4" w:space="0" w:color="auto"/>
              <w:right w:val="single" w:sz="4" w:space="0" w:color="auto"/>
            </w:tcBorders>
            <w:shd w:val="clear" w:color="auto" w:fill="FFFF00"/>
            <w:noWrap/>
            <w:vAlign w:val="bottom"/>
          </w:tcPr>
          <w:p w14:paraId="7EAB55A4" w14:textId="2E3785A5"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20</w:t>
            </w:r>
          </w:p>
        </w:tc>
        <w:tc>
          <w:tcPr>
            <w:tcW w:w="3060" w:type="dxa"/>
            <w:tcBorders>
              <w:top w:val="nil"/>
              <w:left w:val="nil"/>
              <w:bottom w:val="single" w:sz="4" w:space="0" w:color="auto"/>
              <w:right w:val="single" w:sz="4" w:space="0" w:color="auto"/>
            </w:tcBorders>
            <w:shd w:val="clear" w:color="auto" w:fill="FFFF00"/>
            <w:vAlign w:val="bottom"/>
            <w:hideMark/>
          </w:tcPr>
          <w:p w14:paraId="0E017383"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 Luis Obispo County</w:t>
            </w:r>
          </w:p>
        </w:tc>
        <w:tc>
          <w:tcPr>
            <w:tcW w:w="2005" w:type="dxa"/>
            <w:tcBorders>
              <w:top w:val="nil"/>
              <w:left w:val="nil"/>
              <w:bottom w:val="single" w:sz="4" w:space="0" w:color="auto"/>
              <w:right w:val="single" w:sz="4" w:space="0" w:color="auto"/>
            </w:tcBorders>
            <w:shd w:val="clear" w:color="auto" w:fill="FFFF00"/>
            <w:vAlign w:val="bottom"/>
            <w:hideMark/>
          </w:tcPr>
          <w:p w14:paraId="68B910AD"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269,637 </w:t>
            </w:r>
          </w:p>
        </w:tc>
        <w:tc>
          <w:tcPr>
            <w:tcW w:w="1635" w:type="dxa"/>
            <w:tcBorders>
              <w:top w:val="nil"/>
              <w:left w:val="nil"/>
              <w:bottom w:val="single" w:sz="4" w:space="0" w:color="auto"/>
              <w:right w:val="single" w:sz="4" w:space="0" w:color="auto"/>
            </w:tcBorders>
            <w:shd w:val="clear" w:color="auto" w:fill="FFFF00"/>
            <w:vAlign w:val="bottom"/>
            <w:hideMark/>
          </w:tcPr>
          <w:p w14:paraId="1EC19D82"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-2.2</w:t>
            </w:r>
          </w:p>
        </w:tc>
      </w:tr>
      <w:tr w:rsidR="005A4D98" w:rsidRPr="00F04FD7" w14:paraId="2F407761" w14:textId="77777777" w:rsidTr="003727D3">
        <w:trPr>
          <w:trHeight w:val="260"/>
        </w:trPr>
        <w:tc>
          <w:tcPr>
            <w:tcW w:w="960" w:type="dxa"/>
            <w:tcBorders>
              <w:top w:val="nil"/>
              <w:left w:val="single" w:sz="4" w:space="0" w:color="auto"/>
              <w:bottom w:val="single" w:sz="4" w:space="0" w:color="auto"/>
              <w:right w:val="single" w:sz="4" w:space="0" w:color="auto"/>
            </w:tcBorders>
            <w:shd w:val="clear" w:color="auto" w:fill="FFFF00"/>
            <w:vAlign w:val="bottom"/>
          </w:tcPr>
          <w:p w14:paraId="7998642E" w14:textId="4FF70483"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237</w:t>
            </w:r>
          </w:p>
        </w:tc>
        <w:tc>
          <w:tcPr>
            <w:tcW w:w="960" w:type="dxa"/>
            <w:tcBorders>
              <w:top w:val="nil"/>
              <w:left w:val="single" w:sz="4" w:space="0" w:color="auto"/>
              <w:bottom w:val="single" w:sz="4" w:space="0" w:color="auto"/>
              <w:right w:val="single" w:sz="4" w:space="0" w:color="auto"/>
            </w:tcBorders>
            <w:shd w:val="clear" w:color="auto" w:fill="FFFF00"/>
            <w:noWrap/>
            <w:vAlign w:val="bottom"/>
          </w:tcPr>
          <w:p w14:paraId="786B711C" w14:textId="0BB0F23F"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21</w:t>
            </w:r>
          </w:p>
        </w:tc>
        <w:tc>
          <w:tcPr>
            <w:tcW w:w="3060" w:type="dxa"/>
            <w:tcBorders>
              <w:top w:val="nil"/>
              <w:left w:val="nil"/>
              <w:bottom w:val="single" w:sz="4" w:space="0" w:color="auto"/>
              <w:right w:val="single" w:sz="4" w:space="0" w:color="auto"/>
            </w:tcBorders>
            <w:shd w:val="clear" w:color="auto" w:fill="FFFF00"/>
            <w:vAlign w:val="bottom"/>
            <w:hideMark/>
          </w:tcPr>
          <w:p w14:paraId="4CDF2F7D"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Kern County</w:t>
            </w:r>
          </w:p>
        </w:tc>
        <w:tc>
          <w:tcPr>
            <w:tcW w:w="2005" w:type="dxa"/>
            <w:tcBorders>
              <w:top w:val="nil"/>
              <w:left w:val="nil"/>
              <w:bottom w:val="single" w:sz="4" w:space="0" w:color="auto"/>
              <w:right w:val="single" w:sz="4" w:space="0" w:color="auto"/>
            </w:tcBorders>
            <w:shd w:val="clear" w:color="auto" w:fill="FFFF00"/>
            <w:vAlign w:val="bottom"/>
            <w:hideMark/>
          </w:tcPr>
          <w:p w14:paraId="292DB30A"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839,631 </w:t>
            </w:r>
          </w:p>
        </w:tc>
        <w:tc>
          <w:tcPr>
            <w:tcW w:w="1635" w:type="dxa"/>
            <w:tcBorders>
              <w:top w:val="nil"/>
              <w:left w:val="nil"/>
              <w:bottom w:val="single" w:sz="4" w:space="0" w:color="auto"/>
              <w:right w:val="single" w:sz="4" w:space="0" w:color="auto"/>
            </w:tcBorders>
            <w:shd w:val="clear" w:color="auto" w:fill="FFFF00"/>
            <w:vAlign w:val="bottom"/>
            <w:hideMark/>
          </w:tcPr>
          <w:p w14:paraId="593A5E4C"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-1.1</w:t>
            </w:r>
          </w:p>
        </w:tc>
      </w:tr>
      <w:tr w:rsidR="005A4D98" w:rsidRPr="00F04FD7" w14:paraId="6A71BF52" w14:textId="77777777" w:rsidTr="005A4D98">
        <w:trPr>
          <w:trHeight w:val="260"/>
        </w:trPr>
        <w:tc>
          <w:tcPr>
            <w:tcW w:w="960" w:type="dxa"/>
            <w:tcBorders>
              <w:top w:val="nil"/>
              <w:left w:val="single" w:sz="4" w:space="0" w:color="auto"/>
              <w:bottom w:val="single" w:sz="4" w:space="0" w:color="auto"/>
              <w:right w:val="single" w:sz="4" w:space="0" w:color="auto"/>
            </w:tcBorders>
            <w:vAlign w:val="bottom"/>
          </w:tcPr>
          <w:p w14:paraId="7B23E1AE" w14:textId="52750203"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241</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730A20C" w14:textId="1D23B448"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22</w:t>
            </w:r>
          </w:p>
        </w:tc>
        <w:tc>
          <w:tcPr>
            <w:tcW w:w="3060" w:type="dxa"/>
            <w:tcBorders>
              <w:top w:val="nil"/>
              <w:left w:val="nil"/>
              <w:bottom w:val="single" w:sz="4" w:space="0" w:color="auto"/>
              <w:right w:val="single" w:sz="4" w:space="0" w:color="auto"/>
            </w:tcBorders>
            <w:shd w:val="clear" w:color="auto" w:fill="auto"/>
            <w:vAlign w:val="bottom"/>
            <w:hideMark/>
          </w:tcPr>
          <w:p w14:paraId="7FC59014"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San Mateo County</w:t>
            </w:r>
          </w:p>
        </w:tc>
        <w:tc>
          <w:tcPr>
            <w:tcW w:w="2005" w:type="dxa"/>
            <w:tcBorders>
              <w:top w:val="nil"/>
              <w:left w:val="nil"/>
              <w:bottom w:val="single" w:sz="4" w:space="0" w:color="auto"/>
              <w:right w:val="single" w:sz="4" w:space="0" w:color="auto"/>
            </w:tcBorders>
            <w:shd w:val="clear" w:color="auto" w:fill="auto"/>
            <w:vAlign w:val="bottom"/>
            <w:hideMark/>
          </w:tcPr>
          <w:p w14:paraId="59355AC8"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718,451 </w:t>
            </w:r>
          </w:p>
        </w:tc>
        <w:tc>
          <w:tcPr>
            <w:tcW w:w="1635" w:type="dxa"/>
            <w:tcBorders>
              <w:top w:val="nil"/>
              <w:left w:val="nil"/>
              <w:bottom w:val="single" w:sz="4" w:space="0" w:color="auto"/>
              <w:right w:val="single" w:sz="4" w:space="0" w:color="auto"/>
            </w:tcBorders>
            <w:shd w:val="clear" w:color="auto" w:fill="auto"/>
            <w:vAlign w:val="bottom"/>
            <w:hideMark/>
          </w:tcPr>
          <w:p w14:paraId="6EE88CE2"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-0.8</w:t>
            </w:r>
          </w:p>
        </w:tc>
      </w:tr>
      <w:tr w:rsidR="005A4D98" w:rsidRPr="00F04FD7" w14:paraId="5C7FE8AF" w14:textId="77777777" w:rsidTr="003727D3">
        <w:trPr>
          <w:trHeight w:val="260"/>
        </w:trPr>
        <w:tc>
          <w:tcPr>
            <w:tcW w:w="960" w:type="dxa"/>
            <w:tcBorders>
              <w:top w:val="nil"/>
              <w:left w:val="single" w:sz="4" w:space="0" w:color="auto"/>
              <w:bottom w:val="single" w:sz="4" w:space="0" w:color="auto"/>
              <w:right w:val="single" w:sz="4" w:space="0" w:color="auto"/>
            </w:tcBorders>
            <w:shd w:val="clear" w:color="auto" w:fill="FFFF00"/>
            <w:vAlign w:val="bottom"/>
          </w:tcPr>
          <w:p w14:paraId="50AB615B" w14:textId="6DDB008F"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245</w:t>
            </w:r>
          </w:p>
        </w:tc>
        <w:tc>
          <w:tcPr>
            <w:tcW w:w="960" w:type="dxa"/>
            <w:tcBorders>
              <w:top w:val="nil"/>
              <w:left w:val="single" w:sz="4" w:space="0" w:color="auto"/>
              <w:bottom w:val="single" w:sz="4" w:space="0" w:color="auto"/>
              <w:right w:val="single" w:sz="4" w:space="0" w:color="auto"/>
            </w:tcBorders>
            <w:shd w:val="clear" w:color="auto" w:fill="FFFF00"/>
            <w:noWrap/>
            <w:vAlign w:val="bottom"/>
          </w:tcPr>
          <w:p w14:paraId="28C5AB7F" w14:textId="7C946291" w:rsidR="005A4D98" w:rsidRPr="00DD0034" w:rsidRDefault="005A4D98" w:rsidP="005A4D98">
            <w:pPr>
              <w:jc w:val="center"/>
              <w:rPr>
                <w:rFonts w:eastAsia="Times New Roman" w:cstheme="minorHAnsi"/>
                <w:color w:val="000000"/>
                <w:sz w:val="20"/>
                <w:szCs w:val="20"/>
              </w:rPr>
            </w:pPr>
            <w:r w:rsidRPr="00DD0034">
              <w:rPr>
                <w:rFonts w:eastAsia="Times New Roman" w:cstheme="minorHAnsi"/>
                <w:color w:val="000000"/>
                <w:sz w:val="20"/>
                <w:szCs w:val="20"/>
              </w:rPr>
              <w:t>23</w:t>
            </w:r>
          </w:p>
        </w:tc>
        <w:tc>
          <w:tcPr>
            <w:tcW w:w="3060" w:type="dxa"/>
            <w:tcBorders>
              <w:top w:val="nil"/>
              <w:left w:val="nil"/>
              <w:bottom w:val="single" w:sz="4" w:space="0" w:color="auto"/>
              <w:right w:val="single" w:sz="4" w:space="0" w:color="auto"/>
            </w:tcBorders>
            <w:shd w:val="clear" w:color="auto" w:fill="FFFF00"/>
            <w:vAlign w:val="bottom"/>
            <w:hideMark/>
          </w:tcPr>
          <w:p w14:paraId="4250E088" w14:textId="77777777" w:rsidR="005A4D98" w:rsidRPr="00DD0034" w:rsidRDefault="005A4D98" w:rsidP="005A4D98">
            <w:pPr>
              <w:rPr>
                <w:rFonts w:eastAsia="Times New Roman" w:cstheme="minorHAnsi"/>
                <w:sz w:val="20"/>
                <w:szCs w:val="20"/>
              </w:rPr>
            </w:pPr>
            <w:r w:rsidRPr="00DD0034">
              <w:rPr>
                <w:rFonts w:eastAsia="Times New Roman" w:cstheme="minorHAnsi"/>
                <w:sz w:val="20"/>
                <w:szCs w:val="20"/>
              </w:rPr>
              <w:t>Tulare County</w:t>
            </w:r>
          </w:p>
        </w:tc>
        <w:tc>
          <w:tcPr>
            <w:tcW w:w="2005" w:type="dxa"/>
            <w:tcBorders>
              <w:top w:val="nil"/>
              <w:left w:val="nil"/>
              <w:bottom w:val="single" w:sz="4" w:space="0" w:color="auto"/>
              <w:right w:val="single" w:sz="4" w:space="0" w:color="auto"/>
            </w:tcBorders>
            <w:shd w:val="clear" w:color="auto" w:fill="FFFF00"/>
            <w:vAlign w:val="bottom"/>
            <w:hideMark/>
          </w:tcPr>
          <w:p w14:paraId="33C2A07E"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 xml:space="preserve">                      442,179 </w:t>
            </w:r>
          </w:p>
        </w:tc>
        <w:tc>
          <w:tcPr>
            <w:tcW w:w="1635" w:type="dxa"/>
            <w:tcBorders>
              <w:top w:val="nil"/>
              <w:left w:val="nil"/>
              <w:bottom w:val="single" w:sz="4" w:space="0" w:color="auto"/>
              <w:right w:val="single" w:sz="4" w:space="0" w:color="auto"/>
            </w:tcBorders>
            <w:shd w:val="clear" w:color="auto" w:fill="FFFF00"/>
            <w:vAlign w:val="bottom"/>
            <w:hideMark/>
          </w:tcPr>
          <w:p w14:paraId="4C93C881" w14:textId="77777777" w:rsidR="005A4D98" w:rsidRPr="00DD0034" w:rsidRDefault="005A4D98" w:rsidP="005A4D98">
            <w:pPr>
              <w:jc w:val="right"/>
              <w:rPr>
                <w:rFonts w:eastAsia="Times New Roman" w:cstheme="minorHAnsi"/>
                <w:sz w:val="20"/>
                <w:szCs w:val="20"/>
              </w:rPr>
            </w:pPr>
            <w:r w:rsidRPr="00DD0034">
              <w:rPr>
                <w:rFonts w:eastAsia="Times New Roman" w:cstheme="minorHAnsi"/>
                <w:sz w:val="20"/>
                <w:szCs w:val="20"/>
              </w:rPr>
              <w:t>-0.6</w:t>
            </w:r>
          </w:p>
        </w:tc>
      </w:tr>
    </w:tbl>
    <w:p w14:paraId="169C5474" w14:textId="77777777" w:rsidR="003727D3" w:rsidRPr="00DD0034" w:rsidRDefault="003727D3" w:rsidP="00E21502">
      <w:pPr>
        <w:spacing w:after="240"/>
        <w:rPr>
          <w:rFonts w:cstheme="minorHAnsi"/>
          <w:sz w:val="20"/>
          <w:szCs w:val="20"/>
        </w:rPr>
      </w:pPr>
    </w:p>
    <w:p w14:paraId="23465A79" w14:textId="4A0E032B" w:rsidR="005A4D98" w:rsidRPr="00DD0034" w:rsidRDefault="005A4D98" w:rsidP="00E21502">
      <w:pPr>
        <w:spacing w:after="240"/>
        <w:rPr>
          <w:rFonts w:cstheme="minorHAnsi"/>
          <w:sz w:val="20"/>
          <w:szCs w:val="20"/>
        </w:rPr>
      </w:pPr>
      <w:r w:rsidRPr="00DD0034">
        <w:rPr>
          <w:rFonts w:cstheme="minorHAnsi"/>
          <w:sz w:val="20"/>
          <w:szCs w:val="20"/>
        </w:rPr>
        <w:t xml:space="preserve">Note: The Subnational Demographic Analysis (DA) estimates were used to estimate net coverage error for young children in the 2010 Census. These data were produced in March 2018 and were not part of the official 2010 Demographic Analysis estimates. The Subnational DA series was released to inform interested parties of research and to encourage discussion. Source: U.S Census Bureau, Subnational Demographic Analysis estimates, special tabulation. </w:t>
      </w:r>
    </w:p>
    <w:tbl>
      <w:tblPr>
        <w:tblW w:w="10422" w:type="dxa"/>
        <w:tblInd w:w="108" w:type="dxa"/>
        <w:tblLook w:val="04A0" w:firstRow="1" w:lastRow="0" w:firstColumn="1" w:lastColumn="0" w:noHBand="0" w:noVBand="1"/>
      </w:tblPr>
      <w:tblGrid>
        <w:gridCol w:w="1737"/>
        <w:gridCol w:w="1737"/>
        <w:gridCol w:w="1737"/>
        <w:gridCol w:w="729"/>
        <w:gridCol w:w="1008"/>
        <w:gridCol w:w="236"/>
        <w:gridCol w:w="3238"/>
      </w:tblGrid>
      <w:tr w:rsidR="005A4D98" w:rsidRPr="00F04FD7" w14:paraId="281E61A0" w14:textId="77777777" w:rsidTr="005A4D98">
        <w:trPr>
          <w:trHeight w:val="290"/>
        </w:trPr>
        <w:tc>
          <w:tcPr>
            <w:tcW w:w="10422" w:type="dxa"/>
            <w:gridSpan w:val="7"/>
            <w:tcBorders>
              <w:top w:val="nil"/>
              <w:left w:val="nil"/>
              <w:bottom w:val="nil"/>
              <w:right w:val="nil"/>
            </w:tcBorders>
            <w:shd w:val="clear" w:color="000000" w:fill="auto"/>
            <w:noWrap/>
            <w:vAlign w:val="bottom"/>
          </w:tcPr>
          <w:p w14:paraId="44FC8F9D" w14:textId="67334DCA" w:rsidR="005A4D98" w:rsidRPr="00DD0034" w:rsidRDefault="005A4D98" w:rsidP="005A4D98">
            <w:pPr>
              <w:rPr>
                <w:rFonts w:eastAsia="Times New Roman" w:cstheme="minorHAnsi"/>
                <w:color w:val="000000"/>
                <w:sz w:val="22"/>
                <w:szCs w:val="22"/>
              </w:rPr>
            </w:pPr>
          </w:p>
        </w:tc>
      </w:tr>
      <w:tr w:rsidR="005A4D98" w:rsidRPr="00F04FD7" w14:paraId="392B1E9F" w14:textId="77777777" w:rsidTr="005A4D98">
        <w:trPr>
          <w:trHeight w:val="290"/>
        </w:trPr>
        <w:tc>
          <w:tcPr>
            <w:tcW w:w="10422" w:type="dxa"/>
            <w:gridSpan w:val="7"/>
            <w:tcBorders>
              <w:top w:val="nil"/>
              <w:left w:val="nil"/>
              <w:bottom w:val="nil"/>
              <w:right w:val="nil"/>
            </w:tcBorders>
            <w:shd w:val="clear" w:color="000000" w:fill="auto"/>
            <w:noWrap/>
            <w:vAlign w:val="bottom"/>
          </w:tcPr>
          <w:p w14:paraId="3094025B" w14:textId="363C1959" w:rsidR="005A4D98" w:rsidRPr="00DD0034" w:rsidRDefault="005A4D98" w:rsidP="005A4D98">
            <w:pPr>
              <w:rPr>
                <w:rFonts w:eastAsia="Times New Roman" w:cstheme="minorHAnsi"/>
                <w:color w:val="000000"/>
                <w:sz w:val="22"/>
                <w:szCs w:val="22"/>
              </w:rPr>
            </w:pPr>
          </w:p>
        </w:tc>
      </w:tr>
      <w:tr w:rsidR="005A4D98" w:rsidRPr="00F04FD7" w14:paraId="02C670E4" w14:textId="77777777" w:rsidTr="005A4D98">
        <w:trPr>
          <w:trHeight w:val="290"/>
        </w:trPr>
        <w:tc>
          <w:tcPr>
            <w:tcW w:w="10422" w:type="dxa"/>
            <w:gridSpan w:val="7"/>
            <w:tcBorders>
              <w:top w:val="nil"/>
              <w:left w:val="nil"/>
              <w:bottom w:val="nil"/>
              <w:right w:val="nil"/>
            </w:tcBorders>
            <w:shd w:val="clear" w:color="000000" w:fill="auto"/>
            <w:noWrap/>
            <w:vAlign w:val="bottom"/>
          </w:tcPr>
          <w:p w14:paraId="46429121" w14:textId="3AA53271" w:rsidR="005A4D98" w:rsidRPr="00DD0034" w:rsidRDefault="005A4D98" w:rsidP="005A4D98">
            <w:pPr>
              <w:rPr>
                <w:rFonts w:eastAsia="Times New Roman" w:cstheme="minorHAnsi"/>
                <w:color w:val="000000"/>
                <w:sz w:val="22"/>
                <w:szCs w:val="22"/>
              </w:rPr>
            </w:pPr>
          </w:p>
        </w:tc>
      </w:tr>
      <w:tr w:rsidR="005A4D98" w:rsidRPr="00F04FD7" w14:paraId="68538AF5" w14:textId="77777777" w:rsidTr="005A4D98">
        <w:trPr>
          <w:trHeight w:val="290"/>
        </w:trPr>
        <w:tc>
          <w:tcPr>
            <w:tcW w:w="6948" w:type="dxa"/>
            <w:gridSpan w:val="5"/>
            <w:tcBorders>
              <w:top w:val="nil"/>
              <w:left w:val="nil"/>
              <w:bottom w:val="nil"/>
              <w:right w:val="nil"/>
            </w:tcBorders>
            <w:shd w:val="clear" w:color="000000" w:fill="auto"/>
            <w:noWrap/>
            <w:vAlign w:val="bottom"/>
          </w:tcPr>
          <w:p w14:paraId="11E57C66" w14:textId="6E8CDAFC" w:rsidR="005A4D98" w:rsidRPr="00DD0034" w:rsidRDefault="005A4D98" w:rsidP="005A4D98">
            <w:pPr>
              <w:rPr>
                <w:rFonts w:eastAsia="Times New Roman" w:cstheme="minorHAnsi"/>
                <w:color w:val="000000"/>
                <w:sz w:val="22"/>
                <w:szCs w:val="22"/>
              </w:rPr>
            </w:pPr>
          </w:p>
        </w:tc>
        <w:tc>
          <w:tcPr>
            <w:tcW w:w="236" w:type="dxa"/>
            <w:tcBorders>
              <w:top w:val="nil"/>
              <w:left w:val="nil"/>
              <w:bottom w:val="nil"/>
              <w:right w:val="nil"/>
            </w:tcBorders>
            <w:shd w:val="clear" w:color="000000" w:fill="auto"/>
            <w:noWrap/>
            <w:vAlign w:val="bottom"/>
          </w:tcPr>
          <w:p w14:paraId="2BE216EC" w14:textId="77777777" w:rsidR="005A4D98" w:rsidRPr="00DD0034" w:rsidRDefault="005A4D98" w:rsidP="005A4D98">
            <w:pPr>
              <w:rPr>
                <w:rFonts w:eastAsia="Times New Roman" w:cstheme="minorHAnsi"/>
                <w:color w:val="000000"/>
                <w:sz w:val="22"/>
                <w:szCs w:val="22"/>
              </w:rPr>
            </w:pPr>
          </w:p>
        </w:tc>
        <w:tc>
          <w:tcPr>
            <w:tcW w:w="3238" w:type="dxa"/>
            <w:tcBorders>
              <w:top w:val="nil"/>
              <w:left w:val="nil"/>
              <w:bottom w:val="nil"/>
              <w:right w:val="nil"/>
            </w:tcBorders>
            <w:shd w:val="clear" w:color="000000" w:fill="auto"/>
            <w:noWrap/>
            <w:vAlign w:val="bottom"/>
          </w:tcPr>
          <w:p w14:paraId="1B961941" w14:textId="77777777" w:rsidR="005A4D98" w:rsidRPr="00DD0034" w:rsidRDefault="005A4D98" w:rsidP="005A4D98">
            <w:pPr>
              <w:rPr>
                <w:rFonts w:eastAsia="Times New Roman" w:cstheme="minorHAnsi"/>
                <w:sz w:val="20"/>
                <w:szCs w:val="20"/>
              </w:rPr>
            </w:pPr>
          </w:p>
        </w:tc>
      </w:tr>
      <w:tr w:rsidR="005A4D98" w:rsidRPr="00F04FD7" w14:paraId="0FE62F3C" w14:textId="77777777" w:rsidTr="005A4D98">
        <w:trPr>
          <w:trHeight w:val="290"/>
        </w:trPr>
        <w:tc>
          <w:tcPr>
            <w:tcW w:w="5940" w:type="dxa"/>
            <w:gridSpan w:val="4"/>
            <w:tcBorders>
              <w:top w:val="nil"/>
              <w:left w:val="nil"/>
              <w:bottom w:val="nil"/>
              <w:right w:val="nil"/>
            </w:tcBorders>
            <w:shd w:val="clear" w:color="000000" w:fill="auto"/>
            <w:noWrap/>
            <w:vAlign w:val="bottom"/>
          </w:tcPr>
          <w:p w14:paraId="6806C99E" w14:textId="2CB9EFC2" w:rsidR="005A4D98" w:rsidRPr="00DD0034" w:rsidRDefault="005A4D98" w:rsidP="005A4D98">
            <w:pPr>
              <w:rPr>
                <w:rFonts w:eastAsia="Times New Roman" w:cstheme="minorHAnsi"/>
                <w:color w:val="000000"/>
                <w:sz w:val="22"/>
                <w:szCs w:val="22"/>
              </w:rPr>
            </w:pPr>
          </w:p>
        </w:tc>
        <w:tc>
          <w:tcPr>
            <w:tcW w:w="4482" w:type="dxa"/>
            <w:gridSpan w:val="3"/>
            <w:tcBorders>
              <w:top w:val="nil"/>
              <w:left w:val="nil"/>
              <w:bottom w:val="nil"/>
              <w:right w:val="nil"/>
            </w:tcBorders>
            <w:shd w:val="clear" w:color="000000" w:fill="auto"/>
            <w:noWrap/>
            <w:vAlign w:val="bottom"/>
          </w:tcPr>
          <w:p w14:paraId="6771B2D3" w14:textId="77777777" w:rsidR="005A4D98" w:rsidRPr="00DD0034" w:rsidRDefault="005A4D98" w:rsidP="005A4D98">
            <w:pPr>
              <w:rPr>
                <w:rFonts w:eastAsia="Times New Roman" w:cstheme="minorHAnsi"/>
                <w:color w:val="000000"/>
                <w:sz w:val="22"/>
                <w:szCs w:val="22"/>
              </w:rPr>
            </w:pPr>
          </w:p>
        </w:tc>
      </w:tr>
      <w:tr w:rsidR="005A4D98" w:rsidRPr="00F04FD7" w14:paraId="6028026E" w14:textId="77777777" w:rsidTr="005A4D98">
        <w:trPr>
          <w:trHeight w:val="290"/>
        </w:trPr>
        <w:tc>
          <w:tcPr>
            <w:tcW w:w="1737" w:type="dxa"/>
            <w:tcBorders>
              <w:top w:val="nil"/>
              <w:left w:val="nil"/>
              <w:bottom w:val="nil"/>
              <w:right w:val="nil"/>
            </w:tcBorders>
            <w:shd w:val="clear" w:color="000000" w:fill="auto"/>
            <w:noWrap/>
            <w:vAlign w:val="bottom"/>
          </w:tcPr>
          <w:p w14:paraId="0CAEB777" w14:textId="77777777" w:rsidR="005A4D98" w:rsidRPr="00DD0034" w:rsidRDefault="005A4D98" w:rsidP="005A4D98">
            <w:pPr>
              <w:rPr>
                <w:rFonts w:eastAsia="Times New Roman" w:cstheme="minorHAnsi"/>
                <w:sz w:val="20"/>
                <w:szCs w:val="20"/>
              </w:rPr>
            </w:pPr>
          </w:p>
        </w:tc>
        <w:tc>
          <w:tcPr>
            <w:tcW w:w="1737" w:type="dxa"/>
            <w:tcBorders>
              <w:top w:val="nil"/>
              <w:left w:val="nil"/>
              <w:bottom w:val="nil"/>
              <w:right w:val="nil"/>
            </w:tcBorders>
            <w:shd w:val="clear" w:color="000000" w:fill="auto"/>
            <w:noWrap/>
            <w:vAlign w:val="bottom"/>
          </w:tcPr>
          <w:p w14:paraId="25C0F938" w14:textId="77777777" w:rsidR="005A4D98" w:rsidRPr="00DD0034" w:rsidRDefault="005A4D98" w:rsidP="005A4D98">
            <w:pPr>
              <w:rPr>
                <w:rFonts w:eastAsia="Times New Roman" w:cstheme="minorHAnsi"/>
                <w:sz w:val="20"/>
                <w:szCs w:val="20"/>
              </w:rPr>
            </w:pPr>
          </w:p>
        </w:tc>
        <w:tc>
          <w:tcPr>
            <w:tcW w:w="1737" w:type="dxa"/>
            <w:tcBorders>
              <w:top w:val="nil"/>
              <w:left w:val="nil"/>
              <w:bottom w:val="nil"/>
              <w:right w:val="nil"/>
            </w:tcBorders>
            <w:shd w:val="clear" w:color="000000" w:fill="auto"/>
            <w:noWrap/>
            <w:vAlign w:val="bottom"/>
          </w:tcPr>
          <w:p w14:paraId="77259A87" w14:textId="77777777" w:rsidR="005A4D98" w:rsidRPr="00DD0034" w:rsidRDefault="005A4D98" w:rsidP="005A4D98">
            <w:pPr>
              <w:rPr>
                <w:rFonts w:eastAsia="Times New Roman" w:cstheme="minorHAnsi"/>
                <w:sz w:val="20"/>
                <w:szCs w:val="20"/>
              </w:rPr>
            </w:pPr>
          </w:p>
        </w:tc>
        <w:tc>
          <w:tcPr>
            <w:tcW w:w="1737" w:type="dxa"/>
            <w:gridSpan w:val="2"/>
            <w:tcBorders>
              <w:top w:val="nil"/>
              <w:left w:val="nil"/>
              <w:bottom w:val="nil"/>
              <w:right w:val="nil"/>
            </w:tcBorders>
            <w:shd w:val="clear" w:color="000000" w:fill="auto"/>
            <w:noWrap/>
            <w:vAlign w:val="bottom"/>
          </w:tcPr>
          <w:p w14:paraId="78A62E4B" w14:textId="77777777" w:rsidR="005A4D98" w:rsidRPr="00DD0034" w:rsidRDefault="005A4D98" w:rsidP="005A4D98">
            <w:pPr>
              <w:rPr>
                <w:rFonts w:eastAsia="Times New Roman" w:cstheme="minorHAnsi"/>
                <w:sz w:val="20"/>
                <w:szCs w:val="20"/>
              </w:rPr>
            </w:pPr>
          </w:p>
        </w:tc>
        <w:tc>
          <w:tcPr>
            <w:tcW w:w="236" w:type="dxa"/>
            <w:tcBorders>
              <w:top w:val="nil"/>
              <w:left w:val="nil"/>
              <w:bottom w:val="nil"/>
              <w:right w:val="nil"/>
            </w:tcBorders>
            <w:shd w:val="clear" w:color="000000" w:fill="auto"/>
            <w:noWrap/>
            <w:vAlign w:val="bottom"/>
          </w:tcPr>
          <w:p w14:paraId="1A4AD9D3" w14:textId="77777777" w:rsidR="005A4D98" w:rsidRPr="00DD0034" w:rsidRDefault="005A4D98" w:rsidP="005A4D98">
            <w:pPr>
              <w:rPr>
                <w:rFonts w:eastAsia="Times New Roman" w:cstheme="minorHAnsi"/>
                <w:sz w:val="20"/>
                <w:szCs w:val="20"/>
              </w:rPr>
            </w:pPr>
          </w:p>
        </w:tc>
        <w:tc>
          <w:tcPr>
            <w:tcW w:w="3238" w:type="dxa"/>
            <w:tcBorders>
              <w:top w:val="nil"/>
              <w:left w:val="nil"/>
              <w:bottom w:val="nil"/>
              <w:right w:val="nil"/>
            </w:tcBorders>
            <w:shd w:val="clear" w:color="000000" w:fill="auto"/>
            <w:noWrap/>
            <w:vAlign w:val="bottom"/>
          </w:tcPr>
          <w:p w14:paraId="449340C1" w14:textId="77777777" w:rsidR="005A4D98" w:rsidRPr="00DD0034" w:rsidRDefault="005A4D98" w:rsidP="005A4D98">
            <w:pPr>
              <w:rPr>
                <w:rFonts w:eastAsia="Times New Roman" w:cstheme="minorHAnsi"/>
                <w:sz w:val="20"/>
                <w:szCs w:val="20"/>
              </w:rPr>
            </w:pPr>
          </w:p>
        </w:tc>
      </w:tr>
    </w:tbl>
    <w:p w14:paraId="1754A3BB" w14:textId="16CEEB59" w:rsidR="004F39BE" w:rsidRPr="00DD0034" w:rsidRDefault="004F39BE" w:rsidP="00E21502">
      <w:pPr>
        <w:spacing w:after="240"/>
        <w:rPr>
          <w:rFonts w:cstheme="minorHAnsi"/>
          <w:sz w:val="22"/>
          <w:szCs w:val="22"/>
        </w:rPr>
      </w:pPr>
    </w:p>
    <w:p w14:paraId="2CC5FAF4" w14:textId="77777777" w:rsidR="00380851" w:rsidRPr="00DD0034" w:rsidRDefault="00380851" w:rsidP="00E21502">
      <w:pPr>
        <w:spacing w:after="240"/>
        <w:rPr>
          <w:rFonts w:cstheme="minorHAnsi"/>
          <w:b/>
          <w:sz w:val="22"/>
          <w:szCs w:val="22"/>
        </w:rPr>
      </w:pPr>
    </w:p>
    <w:p w14:paraId="084E0622" w14:textId="2D518E1F" w:rsidR="004F39BE" w:rsidRPr="00DD0034" w:rsidRDefault="004F39BE" w:rsidP="00E21502">
      <w:pPr>
        <w:spacing w:after="240"/>
        <w:rPr>
          <w:rFonts w:cstheme="minorHAnsi"/>
          <w:b/>
          <w:sz w:val="22"/>
          <w:szCs w:val="22"/>
        </w:rPr>
      </w:pPr>
      <w:r w:rsidRPr="00DD0034">
        <w:rPr>
          <w:rFonts w:cstheme="minorHAnsi"/>
          <w:b/>
          <w:sz w:val="22"/>
          <w:szCs w:val="22"/>
        </w:rPr>
        <w:lastRenderedPageBreak/>
        <w:t>Funding Map</w:t>
      </w:r>
    </w:p>
    <w:p w14:paraId="66DDD975" w14:textId="5BF83D32" w:rsidR="004F39BE" w:rsidRPr="00DD0034" w:rsidRDefault="004F39BE" w:rsidP="00E21502">
      <w:pPr>
        <w:spacing w:after="240"/>
        <w:rPr>
          <w:rFonts w:cstheme="minorHAnsi"/>
          <w:sz w:val="22"/>
          <w:szCs w:val="22"/>
        </w:rPr>
      </w:pPr>
      <w:r w:rsidRPr="00DD0034">
        <w:rPr>
          <w:rFonts w:cstheme="minorHAnsi"/>
          <w:sz w:val="22"/>
          <w:szCs w:val="22"/>
        </w:rPr>
        <w:t xml:space="preserve">The map reflects all foundation grants dedicated to children ages 0-9 by county as of October 2018. Not included is a grant from Blue Shield of California Foundation, which would bring the total dedicated funding to $965,000. The Packard Grant is also not included in this total.  Again, Imperial county, with a high percentage of children by county, lacks funding, as well as San Bernardino, Riverside, and Yuba counties. </w:t>
      </w:r>
    </w:p>
    <w:p w14:paraId="6F1659FB" w14:textId="5D508952" w:rsidR="004F39BE" w:rsidRPr="00DD0034" w:rsidRDefault="004F39BE" w:rsidP="00E21502">
      <w:pPr>
        <w:spacing w:after="240"/>
        <w:rPr>
          <w:rFonts w:cstheme="minorHAnsi"/>
          <w:sz w:val="22"/>
          <w:szCs w:val="22"/>
        </w:rPr>
      </w:pPr>
      <w:r w:rsidRPr="00DD0034">
        <w:rPr>
          <w:rFonts w:cstheme="minorHAnsi"/>
          <w:noProof/>
          <w:sz w:val="22"/>
          <w:szCs w:val="22"/>
        </w:rPr>
        <w:drawing>
          <wp:inline distT="0" distB="0" distL="0" distR="0" wp14:anchorId="69529046" wp14:editId="1F75CB89">
            <wp:extent cx="2184694" cy="1380449"/>
            <wp:effectExtent l="0" t="0" r="6350" b="0"/>
            <wp:docPr id="13" name="Picture 12">
              <a:extLst xmlns:a="http://schemas.openxmlformats.org/drawingml/2006/main">
                <a:ext uri="{FF2B5EF4-FFF2-40B4-BE49-F238E27FC236}">
                  <a16:creationId xmlns:a16="http://schemas.microsoft.com/office/drawing/2014/main" id="{F54DD827-3C13-4660-B0C2-6206E5AE0A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4DD827-3C13-4660-B0C2-6206E5AE0AD8}"/>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38182" r="10926" b="15229"/>
                    <a:stretch/>
                  </pic:blipFill>
                  <pic:spPr>
                    <a:xfrm>
                      <a:off x="0" y="0"/>
                      <a:ext cx="2184694" cy="1380449"/>
                    </a:xfrm>
                    <a:prstGeom prst="rect">
                      <a:avLst/>
                    </a:prstGeom>
                  </pic:spPr>
                </pic:pic>
              </a:graphicData>
            </a:graphic>
          </wp:inline>
        </w:drawing>
      </w:r>
      <w:r w:rsidRPr="00DD0034">
        <w:rPr>
          <w:rFonts w:cstheme="minorHAnsi"/>
          <w:noProof/>
          <w:sz w:val="22"/>
          <w:szCs w:val="22"/>
        </w:rPr>
        <w:drawing>
          <wp:inline distT="0" distB="0" distL="0" distR="0" wp14:anchorId="2DB68EA2" wp14:editId="4F8AA24F">
            <wp:extent cx="3141148" cy="3794760"/>
            <wp:effectExtent l="0" t="0" r="2540" b="0"/>
            <wp:docPr id="11" name="Picture 10">
              <a:extLst xmlns:a="http://schemas.openxmlformats.org/drawingml/2006/main">
                <a:ext uri="{FF2B5EF4-FFF2-40B4-BE49-F238E27FC236}">
                  <a16:creationId xmlns:a16="http://schemas.microsoft.com/office/drawing/2014/main" id="{6D82DED6-5EAF-43F4-A40E-73E1267306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D82DED6-5EAF-43F4-A40E-73E1267306A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1148" cy="3794760"/>
                    </a:xfrm>
                    <a:prstGeom prst="rect">
                      <a:avLst/>
                    </a:prstGeom>
                  </pic:spPr>
                </pic:pic>
              </a:graphicData>
            </a:graphic>
          </wp:inline>
        </w:drawing>
      </w:r>
    </w:p>
    <w:p w14:paraId="75B0E6AD" w14:textId="33A5218C" w:rsidR="004F39BE" w:rsidRPr="00DD0034" w:rsidRDefault="004F39BE" w:rsidP="00E21502">
      <w:pPr>
        <w:spacing w:after="240"/>
        <w:rPr>
          <w:rFonts w:cstheme="minorHAnsi"/>
          <w:sz w:val="22"/>
          <w:szCs w:val="22"/>
        </w:rPr>
      </w:pPr>
    </w:p>
    <w:p w14:paraId="72E2F00A" w14:textId="08E01D24" w:rsidR="004F39BE" w:rsidRPr="00DD0034" w:rsidRDefault="004F39BE" w:rsidP="00E21502">
      <w:pPr>
        <w:spacing w:after="240"/>
        <w:rPr>
          <w:rFonts w:cstheme="minorHAnsi"/>
          <w:sz w:val="22"/>
          <w:szCs w:val="22"/>
        </w:rPr>
      </w:pPr>
      <w:r w:rsidRPr="00DD0034">
        <w:rPr>
          <w:rFonts w:cstheme="minorHAnsi"/>
          <w:b/>
          <w:sz w:val="22"/>
          <w:szCs w:val="22"/>
        </w:rPr>
        <w:t>Counties receiving funding:</w:t>
      </w:r>
      <w:r w:rsidRPr="00DD0034">
        <w:rPr>
          <w:rFonts w:cstheme="minorHAnsi"/>
          <w:sz w:val="22"/>
          <w:szCs w:val="22"/>
        </w:rPr>
        <w:t xml:space="preserve"> </w:t>
      </w:r>
      <w:r w:rsidR="003727D3" w:rsidRPr="00DD0034">
        <w:rPr>
          <w:rFonts w:cstheme="minorHAnsi"/>
          <w:sz w:val="22"/>
          <w:szCs w:val="22"/>
        </w:rPr>
        <w:t xml:space="preserve">Los Angeles County, San Joaquin County, Stanislaus County, Merced County, Madera County, Fresno County, San Luis Obispo, County Tulare County, </w:t>
      </w:r>
      <w:r w:rsidRPr="00DD0034">
        <w:rPr>
          <w:rFonts w:cstheme="minorHAnsi"/>
          <w:sz w:val="22"/>
          <w:szCs w:val="22"/>
        </w:rPr>
        <w:t>Kern County and Ventura County</w:t>
      </w:r>
    </w:p>
    <w:sectPr w:rsidR="004F39BE" w:rsidRPr="00DD0034" w:rsidSect="005A3D1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A62A" w14:textId="77777777" w:rsidR="00AC4FAF" w:rsidRDefault="00AC4FAF" w:rsidP="00F50679">
      <w:r>
        <w:separator/>
      </w:r>
    </w:p>
  </w:endnote>
  <w:endnote w:type="continuationSeparator" w:id="0">
    <w:p w14:paraId="7BD38A8F" w14:textId="77777777" w:rsidR="00AC4FAF" w:rsidRDefault="00AC4FAF" w:rsidP="00F5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295F" w14:textId="77777777" w:rsidR="00F04FD7" w:rsidRDefault="00F0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2CFB" w14:textId="5637607E" w:rsidR="00AD76A4" w:rsidRPr="00AD76A4" w:rsidRDefault="00AD76A4" w:rsidP="00AD76A4">
    <w:pPr>
      <w:pStyle w:val="Footer"/>
      <w:jc w:val="right"/>
      <w:rPr>
        <w:sz w:val="16"/>
        <w:szCs w:val="16"/>
      </w:rPr>
    </w:pPr>
    <w:r w:rsidRPr="00AD76A4">
      <w:rPr>
        <w:sz w:val="16"/>
        <w:szCs w:val="16"/>
      </w:rPr>
      <w:t>Updated 03/</w:t>
    </w:r>
    <w:r w:rsidR="00474537">
      <w:rPr>
        <w:sz w:val="16"/>
        <w:szCs w:val="16"/>
      </w:rPr>
      <w:t>20</w:t>
    </w:r>
    <w:r w:rsidRPr="00AD76A4">
      <w:rPr>
        <w:sz w:val="16"/>
        <w:szCs w:val="16"/>
      </w:rPr>
      <w:t>/19</w:t>
    </w:r>
  </w:p>
  <w:p w14:paraId="25F74B51" w14:textId="77777777" w:rsidR="00AD76A4" w:rsidRPr="00AD76A4" w:rsidRDefault="00AD76A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BA00" w14:textId="77777777" w:rsidR="00F04FD7" w:rsidRDefault="00F0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C0CA" w14:textId="77777777" w:rsidR="00AC4FAF" w:rsidRDefault="00AC4FAF" w:rsidP="00F50679">
      <w:r>
        <w:separator/>
      </w:r>
    </w:p>
  </w:footnote>
  <w:footnote w:type="continuationSeparator" w:id="0">
    <w:p w14:paraId="06C82FAE" w14:textId="77777777" w:rsidR="00AC4FAF" w:rsidRDefault="00AC4FAF" w:rsidP="00F5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2224" w14:textId="2E50A3CD" w:rsidR="00F04FD7" w:rsidRDefault="00F04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DC93" w14:textId="66A8B17C" w:rsidR="00F04FD7" w:rsidRDefault="00F04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CE2D" w14:textId="0331F355" w:rsidR="00F04FD7" w:rsidRDefault="00F04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5074A"/>
    <w:multiLevelType w:val="hybridMultilevel"/>
    <w:tmpl w:val="02749DFC"/>
    <w:lvl w:ilvl="0" w:tplc="D7E85E6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579CD"/>
    <w:multiLevelType w:val="hybridMultilevel"/>
    <w:tmpl w:val="F3FA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70354"/>
    <w:multiLevelType w:val="multilevel"/>
    <w:tmpl w:val="D464B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0734D"/>
    <w:multiLevelType w:val="multilevel"/>
    <w:tmpl w:val="4500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52E85"/>
    <w:multiLevelType w:val="hybridMultilevel"/>
    <w:tmpl w:val="B336A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1B2D"/>
    <w:multiLevelType w:val="hybridMultilevel"/>
    <w:tmpl w:val="60228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7014D"/>
    <w:multiLevelType w:val="hybridMultilevel"/>
    <w:tmpl w:val="D134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4BD1"/>
    <w:multiLevelType w:val="multilevel"/>
    <w:tmpl w:val="AE22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01ABC"/>
    <w:multiLevelType w:val="hybridMultilevel"/>
    <w:tmpl w:val="B382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92030"/>
    <w:multiLevelType w:val="hybridMultilevel"/>
    <w:tmpl w:val="9A2AA5E6"/>
    <w:lvl w:ilvl="0" w:tplc="D7E85E66">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C6B34"/>
    <w:multiLevelType w:val="hybridMultilevel"/>
    <w:tmpl w:val="E91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13DA0"/>
    <w:multiLevelType w:val="hybridMultilevel"/>
    <w:tmpl w:val="9F5AD96A"/>
    <w:lvl w:ilvl="0" w:tplc="72548D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A5734"/>
    <w:multiLevelType w:val="hybridMultilevel"/>
    <w:tmpl w:val="5D74C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477F5"/>
    <w:multiLevelType w:val="hybridMultilevel"/>
    <w:tmpl w:val="AD4E0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4512F"/>
    <w:multiLevelType w:val="hybridMultilevel"/>
    <w:tmpl w:val="80B8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53D91"/>
    <w:multiLevelType w:val="hybridMultilevel"/>
    <w:tmpl w:val="965C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E4F55"/>
    <w:multiLevelType w:val="multilevel"/>
    <w:tmpl w:val="4C96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84AE0"/>
    <w:multiLevelType w:val="hybridMultilevel"/>
    <w:tmpl w:val="6D025208"/>
    <w:lvl w:ilvl="0" w:tplc="91A856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437FE"/>
    <w:multiLevelType w:val="hybridMultilevel"/>
    <w:tmpl w:val="85CEB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752AF"/>
    <w:multiLevelType w:val="hybridMultilevel"/>
    <w:tmpl w:val="71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856FA"/>
    <w:multiLevelType w:val="hybridMultilevel"/>
    <w:tmpl w:val="E5824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214D7"/>
    <w:multiLevelType w:val="hybridMultilevel"/>
    <w:tmpl w:val="02749DFC"/>
    <w:lvl w:ilvl="0" w:tplc="D7E85E6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F6938"/>
    <w:multiLevelType w:val="multilevel"/>
    <w:tmpl w:val="98C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83B9C"/>
    <w:multiLevelType w:val="multilevel"/>
    <w:tmpl w:val="23C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925ED4"/>
    <w:multiLevelType w:val="hybridMultilevel"/>
    <w:tmpl w:val="585A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DF3CB1"/>
    <w:multiLevelType w:val="hybridMultilevel"/>
    <w:tmpl w:val="2FE2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851"/>
    <w:multiLevelType w:val="hybridMultilevel"/>
    <w:tmpl w:val="69B82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4366A"/>
    <w:multiLevelType w:val="hybridMultilevel"/>
    <w:tmpl w:val="E102A8B4"/>
    <w:lvl w:ilvl="0" w:tplc="51800458">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B5948"/>
    <w:multiLevelType w:val="hybridMultilevel"/>
    <w:tmpl w:val="C45A61F6"/>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15:restartNumberingAfterBreak="0">
    <w:nsid w:val="71F2209D"/>
    <w:multiLevelType w:val="hybridMultilevel"/>
    <w:tmpl w:val="C56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05EAF"/>
    <w:multiLevelType w:val="hybridMultilevel"/>
    <w:tmpl w:val="6B5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E7510"/>
    <w:multiLevelType w:val="hybridMultilevel"/>
    <w:tmpl w:val="7624B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8"/>
  </w:num>
  <w:num w:numId="4">
    <w:abstractNumId w:val="30"/>
  </w:num>
  <w:num w:numId="5">
    <w:abstractNumId w:val="18"/>
  </w:num>
  <w:num w:numId="6">
    <w:abstractNumId w:val="21"/>
  </w:num>
  <w:num w:numId="7">
    <w:abstractNumId w:val="20"/>
  </w:num>
  <w:num w:numId="8">
    <w:abstractNumId w:val="25"/>
  </w:num>
  <w:num w:numId="9">
    <w:abstractNumId w:val="31"/>
  </w:num>
  <w:num w:numId="10">
    <w:abstractNumId w:val="15"/>
  </w:num>
  <w:num w:numId="11">
    <w:abstractNumId w:val="7"/>
  </w:num>
  <w:num w:numId="12">
    <w:abstractNumId w:val="16"/>
  </w:num>
  <w:num w:numId="13">
    <w:abstractNumId w:val="2"/>
  </w:num>
  <w:num w:numId="14">
    <w:abstractNumId w:val="13"/>
  </w:num>
  <w:num w:numId="15">
    <w:abstractNumId w:val="3"/>
  </w:num>
  <w:num w:numId="16">
    <w:abstractNumId w:val="17"/>
  </w:num>
  <w:num w:numId="17">
    <w:abstractNumId w:val="4"/>
  </w:num>
  <w:num w:numId="18">
    <w:abstractNumId w:val="23"/>
  </w:num>
  <w:num w:numId="19">
    <w:abstractNumId w:val="11"/>
  </w:num>
  <w:num w:numId="20">
    <w:abstractNumId w:val="28"/>
  </w:num>
  <w:num w:numId="21">
    <w:abstractNumId w:val="19"/>
  </w:num>
  <w:num w:numId="22">
    <w:abstractNumId w:val="14"/>
  </w:num>
  <w:num w:numId="23">
    <w:abstractNumId w:val="24"/>
  </w:num>
  <w:num w:numId="24">
    <w:abstractNumId w:val="29"/>
  </w:num>
  <w:num w:numId="25">
    <w:abstractNumId w:val="27"/>
  </w:num>
  <w:num w:numId="26">
    <w:abstractNumId w:val="9"/>
  </w:num>
  <w:num w:numId="27">
    <w:abstractNumId w:val="5"/>
  </w:num>
  <w:num w:numId="28">
    <w:abstractNumId w:val="32"/>
  </w:num>
  <w:num w:numId="29">
    <w:abstractNumId w:val="1"/>
  </w:num>
  <w:num w:numId="30">
    <w:abstractNumId w:val="12"/>
  </w:num>
  <w:num w:numId="31">
    <w:abstractNumId w:val="6"/>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A71"/>
    <w:rsid w:val="0000018A"/>
    <w:rsid w:val="00024CEF"/>
    <w:rsid w:val="00027ABD"/>
    <w:rsid w:val="000333A2"/>
    <w:rsid w:val="00036B24"/>
    <w:rsid w:val="000547A8"/>
    <w:rsid w:val="0007374E"/>
    <w:rsid w:val="00080E36"/>
    <w:rsid w:val="000C2370"/>
    <w:rsid w:val="000D40D7"/>
    <w:rsid w:val="000F1E5E"/>
    <w:rsid w:val="00121A71"/>
    <w:rsid w:val="00165AC7"/>
    <w:rsid w:val="001752F7"/>
    <w:rsid w:val="00180460"/>
    <w:rsid w:val="001931A8"/>
    <w:rsid w:val="001B5FC9"/>
    <w:rsid w:val="00203E35"/>
    <w:rsid w:val="00262629"/>
    <w:rsid w:val="00280D69"/>
    <w:rsid w:val="00297624"/>
    <w:rsid w:val="002B5BDC"/>
    <w:rsid w:val="002C099A"/>
    <w:rsid w:val="002C46D4"/>
    <w:rsid w:val="002C6A2F"/>
    <w:rsid w:val="002C788B"/>
    <w:rsid w:val="002D2009"/>
    <w:rsid w:val="002D7861"/>
    <w:rsid w:val="002F40F8"/>
    <w:rsid w:val="002F44FD"/>
    <w:rsid w:val="00300B6E"/>
    <w:rsid w:val="00304702"/>
    <w:rsid w:val="003128D3"/>
    <w:rsid w:val="003247B9"/>
    <w:rsid w:val="00337604"/>
    <w:rsid w:val="003727D3"/>
    <w:rsid w:val="00380851"/>
    <w:rsid w:val="0038596F"/>
    <w:rsid w:val="003A0D8F"/>
    <w:rsid w:val="003A3268"/>
    <w:rsid w:val="003E6482"/>
    <w:rsid w:val="004375A6"/>
    <w:rsid w:val="00450429"/>
    <w:rsid w:val="004537C8"/>
    <w:rsid w:val="00453E31"/>
    <w:rsid w:val="00463FC1"/>
    <w:rsid w:val="00474537"/>
    <w:rsid w:val="004B23E9"/>
    <w:rsid w:val="004C530D"/>
    <w:rsid w:val="004C60D5"/>
    <w:rsid w:val="004E3354"/>
    <w:rsid w:val="004E61B7"/>
    <w:rsid w:val="004F39BE"/>
    <w:rsid w:val="004F6404"/>
    <w:rsid w:val="005063CA"/>
    <w:rsid w:val="00522B84"/>
    <w:rsid w:val="00557BAB"/>
    <w:rsid w:val="00560B35"/>
    <w:rsid w:val="005665BF"/>
    <w:rsid w:val="005A3C40"/>
    <w:rsid w:val="005A4D98"/>
    <w:rsid w:val="005B1AEE"/>
    <w:rsid w:val="005C0B47"/>
    <w:rsid w:val="005E607C"/>
    <w:rsid w:val="005E6397"/>
    <w:rsid w:val="005F3E22"/>
    <w:rsid w:val="0060278B"/>
    <w:rsid w:val="00622DBA"/>
    <w:rsid w:val="00630F5F"/>
    <w:rsid w:val="006354D4"/>
    <w:rsid w:val="00660D06"/>
    <w:rsid w:val="00665084"/>
    <w:rsid w:val="00694527"/>
    <w:rsid w:val="006B557C"/>
    <w:rsid w:val="006E46FC"/>
    <w:rsid w:val="0071383A"/>
    <w:rsid w:val="00721132"/>
    <w:rsid w:val="00724F29"/>
    <w:rsid w:val="00762B47"/>
    <w:rsid w:val="00762D98"/>
    <w:rsid w:val="00766783"/>
    <w:rsid w:val="007B1D59"/>
    <w:rsid w:val="007C6CD8"/>
    <w:rsid w:val="007D41F4"/>
    <w:rsid w:val="0082018E"/>
    <w:rsid w:val="0082754D"/>
    <w:rsid w:val="00850687"/>
    <w:rsid w:val="00852377"/>
    <w:rsid w:val="00853829"/>
    <w:rsid w:val="00867D8A"/>
    <w:rsid w:val="0089366E"/>
    <w:rsid w:val="008A48A3"/>
    <w:rsid w:val="008C2371"/>
    <w:rsid w:val="008F0885"/>
    <w:rsid w:val="009051FC"/>
    <w:rsid w:val="00911705"/>
    <w:rsid w:val="00913B50"/>
    <w:rsid w:val="009346F5"/>
    <w:rsid w:val="00957CCA"/>
    <w:rsid w:val="00990ECB"/>
    <w:rsid w:val="009F1208"/>
    <w:rsid w:val="00A229E4"/>
    <w:rsid w:val="00A3183C"/>
    <w:rsid w:val="00A33357"/>
    <w:rsid w:val="00A54871"/>
    <w:rsid w:val="00A56E76"/>
    <w:rsid w:val="00A6040F"/>
    <w:rsid w:val="00A9400D"/>
    <w:rsid w:val="00AC4FAF"/>
    <w:rsid w:val="00AD71F4"/>
    <w:rsid w:val="00AD76A4"/>
    <w:rsid w:val="00AF7499"/>
    <w:rsid w:val="00B44376"/>
    <w:rsid w:val="00B8170E"/>
    <w:rsid w:val="00B8696D"/>
    <w:rsid w:val="00BA250E"/>
    <w:rsid w:val="00BA26D4"/>
    <w:rsid w:val="00BB2251"/>
    <w:rsid w:val="00BE3784"/>
    <w:rsid w:val="00C03C56"/>
    <w:rsid w:val="00C12D22"/>
    <w:rsid w:val="00C152B6"/>
    <w:rsid w:val="00C25B68"/>
    <w:rsid w:val="00CA0713"/>
    <w:rsid w:val="00CC5D90"/>
    <w:rsid w:val="00CC63FD"/>
    <w:rsid w:val="00CC6908"/>
    <w:rsid w:val="00CE2AA0"/>
    <w:rsid w:val="00D01080"/>
    <w:rsid w:val="00D12F7E"/>
    <w:rsid w:val="00D237AB"/>
    <w:rsid w:val="00DC28DC"/>
    <w:rsid w:val="00DD0034"/>
    <w:rsid w:val="00DE4253"/>
    <w:rsid w:val="00E07CAC"/>
    <w:rsid w:val="00E21502"/>
    <w:rsid w:val="00E7141D"/>
    <w:rsid w:val="00EA1E3F"/>
    <w:rsid w:val="00EB3C42"/>
    <w:rsid w:val="00ED48AB"/>
    <w:rsid w:val="00EF6750"/>
    <w:rsid w:val="00F04FD7"/>
    <w:rsid w:val="00F30798"/>
    <w:rsid w:val="00F44D50"/>
    <w:rsid w:val="00F50679"/>
    <w:rsid w:val="00F54CED"/>
    <w:rsid w:val="00F76628"/>
    <w:rsid w:val="00F862E1"/>
    <w:rsid w:val="00FA0235"/>
    <w:rsid w:val="00FA0784"/>
    <w:rsid w:val="00FB6792"/>
    <w:rsid w:val="00FE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6BF9"/>
  <w15:docId w15:val="{0F5C205D-AC5F-4290-8CF4-847CA239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0333A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71"/>
    <w:pPr>
      <w:ind w:left="720"/>
      <w:contextualSpacing/>
    </w:pPr>
  </w:style>
  <w:style w:type="character" w:customStyle="1" w:styleId="apple-converted-space">
    <w:name w:val="apple-converted-space"/>
    <w:basedOn w:val="DefaultParagraphFont"/>
    <w:rsid w:val="007C6CD8"/>
  </w:style>
  <w:style w:type="character" w:styleId="Hyperlink">
    <w:name w:val="Hyperlink"/>
    <w:basedOn w:val="DefaultParagraphFont"/>
    <w:uiPriority w:val="99"/>
    <w:unhideWhenUsed/>
    <w:rsid w:val="007C6CD8"/>
    <w:rPr>
      <w:color w:val="0563C1" w:themeColor="hyperlink"/>
      <w:u w:val="single"/>
    </w:rPr>
  </w:style>
  <w:style w:type="character" w:customStyle="1" w:styleId="UnresolvedMention1">
    <w:name w:val="Unresolved Mention1"/>
    <w:basedOn w:val="DefaultParagraphFont"/>
    <w:uiPriority w:val="99"/>
    <w:semiHidden/>
    <w:unhideWhenUsed/>
    <w:rsid w:val="007C6CD8"/>
    <w:rPr>
      <w:color w:val="605E5C"/>
      <w:shd w:val="clear" w:color="auto" w:fill="E1DFDD"/>
    </w:rPr>
  </w:style>
  <w:style w:type="character" w:styleId="FollowedHyperlink">
    <w:name w:val="FollowedHyperlink"/>
    <w:basedOn w:val="DefaultParagraphFont"/>
    <w:uiPriority w:val="99"/>
    <w:semiHidden/>
    <w:unhideWhenUsed/>
    <w:rsid w:val="00ED48AB"/>
    <w:rPr>
      <w:color w:val="954F72" w:themeColor="followedHyperlink"/>
      <w:u w:val="single"/>
    </w:rPr>
  </w:style>
  <w:style w:type="paragraph" w:styleId="NormalWeb">
    <w:name w:val="Normal (Web)"/>
    <w:basedOn w:val="Normal"/>
    <w:uiPriority w:val="99"/>
    <w:semiHidden/>
    <w:unhideWhenUsed/>
    <w:rsid w:val="00ED48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D48AB"/>
    <w:rPr>
      <w:i/>
      <w:iCs/>
    </w:rPr>
  </w:style>
  <w:style w:type="character" w:customStyle="1" w:styleId="Heading6Char">
    <w:name w:val="Heading 6 Char"/>
    <w:basedOn w:val="DefaultParagraphFont"/>
    <w:link w:val="Heading6"/>
    <w:uiPriority w:val="9"/>
    <w:rsid w:val="000333A2"/>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033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A2"/>
    <w:rPr>
      <w:rFonts w:ascii="Segoe UI" w:hAnsi="Segoe UI" w:cs="Segoe UI"/>
      <w:sz w:val="18"/>
      <w:szCs w:val="18"/>
    </w:rPr>
  </w:style>
  <w:style w:type="character" w:styleId="CommentReference">
    <w:name w:val="annotation reference"/>
    <w:basedOn w:val="DefaultParagraphFont"/>
    <w:uiPriority w:val="99"/>
    <w:semiHidden/>
    <w:unhideWhenUsed/>
    <w:rsid w:val="00FB6792"/>
    <w:rPr>
      <w:sz w:val="16"/>
      <w:szCs w:val="16"/>
    </w:rPr>
  </w:style>
  <w:style w:type="paragraph" w:styleId="CommentText">
    <w:name w:val="annotation text"/>
    <w:basedOn w:val="Normal"/>
    <w:link w:val="CommentTextChar"/>
    <w:uiPriority w:val="99"/>
    <w:semiHidden/>
    <w:unhideWhenUsed/>
    <w:rsid w:val="00FB6792"/>
    <w:rPr>
      <w:sz w:val="20"/>
      <w:szCs w:val="20"/>
    </w:rPr>
  </w:style>
  <w:style w:type="character" w:customStyle="1" w:styleId="CommentTextChar">
    <w:name w:val="Comment Text Char"/>
    <w:basedOn w:val="DefaultParagraphFont"/>
    <w:link w:val="CommentText"/>
    <w:uiPriority w:val="99"/>
    <w:semiHidden/>
    <w:rsid w:val="00FB6792"/>
    <w:rPr>
      <w:sz w:val="20"/>
      <w:szCs w:val="20"/>
    </w:rPr>
  </w:style>
  <w:style w:type="paragraph" w:styleId="CommentSubject">
    <w:name w:val="annotation subject"/>
    <w:basedOn w:val="CommentText"/>
    <w:next w:val="CommentText"/>
    <w:link w:val="CommentSubjectChar"/>
    <w:uiPriority w:val="99"/>
    <w:semiHidden/>
    <w:unhideWhenUsed/>
    <w:rsid w:val="00FB6792"/>
    <w:rPr>
      <w:b/>
      <w:bCs/>
    </w:rPr>
  </w:style>
  <w:style w:type="character" w:customStyle="1" w:styleId="CommentSubjectChar">
    <w:name w:val="Comment Subject Char"/>
    <w:basedOn w:val="CommentTextChar"/>
    <w:link w:val="CommentSubject"/>
    <w:uiPriority w:val="99"/>
    <w:semiHidden/>
    <w:rsid w:val="00FB6792"/>
    <w:rPr>
      <w:b/>
      <w:bCs/>
      <w:sz w:val="20"/>
      <w:szCs w:val="20"/>
    </w:rPr>
  </w:style>
  <w:style w:type="paragraph" w:styleId="Header">
    <w:name w:val="header"/>
    <w:basedOn w:val="Normal"/>
    <w:link w:val="HeaderChar"/>
    <w:uiPriority w:val="99"/>
    <w:unhideWhenUsed/>
    <w:rsid w:val="00AD76A4"/>
    <w:pPr>
      <w:tabs>
        <w:tab w:val="center" w:pos="4680"/>
        <w:tab w:val="right" w:pos="9360"/>
      </w:tabs>
    </w:pPr>
  </w:style>
  <w:style w:type="character" w:customStyle="1" w:styleId="HeaderChar">
    <w:name w:val="Header Char"/>
    <w:basedOn w:val="DefaultParagraphFont"/>
    <w:link w:val="Header"/>
    <w:uiPriority w:val="99"/>
    <w:rsid w:val="00AD76A4"/>
  </w:style>
  <w:style w:type="paragraph" w:styleId="Footer">
    <w:name w:val="footer"/>
    <w:basedOn w:val="Normal"/>
    <w:link w:val="FooterChar"/>
    <w:uiPriority w:val="99"/>
    <w:unhideWhenUsed/>
    <w:rsid w:val="00AD76A4"/>
    <w:pPr>
      <w:tabs>
        <w:tab w:val="center" w:pos="4680"/>
        <w:tab w:val="right" w:pos="9360"/>
      </w:tabs>
    </w:pPr>
  </w:style>
  <w:style w:type="character" w:customStyle="1" w:styleId="FooterChar">
    <w:name w:val="Footer Char"/>
    <w:basedOn w:val="DefaultParagraphFont"/>
    <w:link w:val="Footer"/>
    <w:uiPriority w:val="99"/>
    <w:rsid w:val="00AD76A4"/>
  </w:style>
  <w:style w:type="character" w:customStyle="1" w:styleId="UnresolvedMention2">
    <w:name w:val="Unresolved Mention2"/>
    <w:basedOn w:val="DefaultParagraphFont"/>
    <w:uiPriority w:val="99"/>
    <w:semiHidden/>
    <w:unhideWhenUsed/>
    <w:rsid w:val="008A48A3"/>
    <w:rPr>
      <w:color w:val="605E5C"/>
      <w:shd w:val="clear" w:color="auto" w:fill="E1DFDD"/>
    </w:rPr>
  </w:style>
  <w:style w:type="paragraph" w:styleId="Revision">
    <w:name w:val="Revision"/>
    <w:hidden/>
    <w:uiPriority w:val="99"/>
    <w:semiHidden/>
    <w:rsid w:val="00C2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6314">
      <w:bodyDiv w:val="1"/>
      <w:marLeft w:val="0"/>
      <w:marRight w:val="0"/>
      <w:marTop w:val="0"/>
      <w:marBottom w:val="0"/>
      <w:divBdr>
        <w:top w:val="none" w:sz="0" w:space="0" w:color="auto"/>
        <w:left w:val="none" w:sz="0" w:space="0" w:color="auto"/>
        <w:bottom w:val="none" w:sz="0" w:space="0" w:color="auto"/>
        <w:right w:val="none" w:sz="0" w:space="0" w:color="auto"/>
      </w:divBdr>
    </w:div>
    <w:div w:id="270943295">
      <w:bodyDiv w:val="1"/>
      <w:marLeft w:val="0"/>
      <w:marRight w:val="0"/>
      <w:marTop w:val="0"/>
      <w:marBottom w:val="0"/>
      <w:divBdr>
        <w:top w:val="none" w:sz="0" w:space="0" w:color="auto"/>
        <w:left w:val="none" w:sz="0" w:space="0" w:color="auto"/>
        <w:bottom w:val="none" w:sz="0" w:space="0" w:color="auto"/>
        <w:right w:val="none" w:sz="0" w:space="0" w:color="auto"/>
      </w:divBdr>
    </w:div>
    <w:div w:id="320087367">
      <w:bodyDiv w:val="1"/>
      <w:marLeft w:val="0"/>
      <w:marRight w:val="0"/>
      <w:marTop w:val="0"/>
      <w:marBottom w:val="0"/>
      <w:divBdr>
        <w:top w:val="none" w:sz="0" w:space="0" w:color="auto"/>
        <w:left w:val="none" w:sz="0" w:space="0" w:color="auto"/>
        <w:bottom w:val="none" w:sz="0" w:space="0" w:color="auto"/>
        <w:right w:val="none" w:sz="0" w:space="0" w:color="auto"/>
      </w:divBdr>
    </w:div>
    <w:div w:id="461773325">
      <w:bodyDiv w:val="1"/>
      <w:marLeft w:val="0"/>
      <w:marRight w:val="0"/>
      <w:marTop w:val="0"/>
      <w:marBottom w:val="0"/>
      <w:divBdr>
        <w:top w:val="none" w:sz="0" w:space="0" w:color="auto"/>
        <w:left w:val="none" w:sz="0" w:space="0" w:color="auto"/>
        <w:bottom w:val="none" w:sz="0" w:space="0" w:color="auto"/>
        <w:right w:val="none" w:sz="0" w:space="0" w:color="auto"/>
      </w:divBdr>
    </w:div>
    <w:div w:id="544220235">
      <w:bodyDiv w:val="1"/>
      <w:marLeft w:val="0"/>
      <w:marRight w:val="0"/>
      <w:marTop w:val="0"/>
      <w:marBottom w:val="0"/>
      <w:divBdr>
        <w:top w:val="none" w:sz="0" w:space="0" w:color="auto"/>
        <w:left w:val="none" w:sz="0" w:space="0" w:color="auto"/>
        <w:bottom w:val="none" w:sz="0" w:space="0" w:color="auto"/>
        <w:right w:val="none" w:sz="0" w:space="0" w:color="auto"/>
      </w:divBdr>
    </w:div>
    <w:div w:id="560095291">
      <w:bodyDiv w:val="1"/>
      <w:marLeft w:val="0"/>
      <w:marRight w:val="0"/>
      <w:marTop w:val="0"/>
      <w:marBottom w:val="0"/>
      <w:divBdr>
        <w:top w:val="none" w:sz="0" w:space="0" w:color="auto"/>
        <w:left w:val="none" w:sz="0" w:space="0" w:color="auto"/>
        <w:bottom w:val="none" w:sz="0" w:space="0" w:color="auto"/>
        <w:right w:val="none" w:sz="0" w:space="0" w:color="auto"/>
      </w:divBdr>
    </w:div>
    <w:div w:id="699015431">
      <w:bodyDiv w:val="1"/>
      <w:marLeft w:val="0"/>
      <w:marRight w:val="0"/>
      <w:marTop w:val="0"/>
      <w:marBottom w:val="0"/>
      <w:divBdr>
        <w:top w:val="none" w:sz="0" w:space="0" w:color="auto"/>
        <w:left w:val="none" w:sz="0" w:space="0" w:color="auto"/>
        <w:bottom w:val="none" w:sz="0" w:space="0" w:color="auto"/>
        <w:right w:val="none" w:sz="0" w:space="0" w:color="auto"/>
      </w:divBdr>
    </w:div>
    <w:div w:id="742334597">
      <w:bodyDiv w:val="1"/>
      <w:marLeft w:val="0"/>
      <w:marRight w:val="0"/>
      <w:marTop w:val="0"/>
      <w:marBottom w:val="0"/>
      <w:divBdr>
        <w:top w:val="none" w:sz="0" w:space="0" w:color="auto"/>
        <w:left w:val="none" w:sz="0" w:space="0" w:color="auto"/>
        <w:bottom w:val="none" w:sz="0" w:space="0" w:color="auto"/>
        <w:right w:val="none" w:sz="0" w:space="0" w:color="auto"/>
      </w:divBdr>
    </w:div>
    <w:div w:id="773094395">
      <w:bodyDiv w:val="1"/>
      <w:marLeft w:val="0"/>
      <w:marRight w:val="0"/>
      <w:marTop w:val="0"/>
      <w:marBottom w:val="0"/>
      <w:divBdr>
        <w:top w:val="none" w:sz="0" w:space="0" w:color="auto"/>
        <w:left w:val="none" w:sz="0" w:space="0" w:color="auto"/>
        <w:bottom w:val="none" w:sz="0" w:space="0" w:color="auto"/>
        <w:right w:val="none" w:sz="0" w:space="0" w:color="auto"/>
      </w:divBdr>
    </w:div>
    <w:div w:id="997002859">
      <w:bodyDiv w:val="1"/>
      <w:marLeft w:val="0"/>
      <w:marRight w:val="0"/>
      <w:marTop w:val="0"/>
      <w:marBottom w:val="0"/>
      <w:divBdr>
        <w:top w:val="none" w:sz="0" w:space="0" w:color="auto"/>
        <w:left w:val="none" w:sz="0" w:space="0" w:color="auto"/>
        <w:bottom w:val="none" w:sz="0" w:space="0" w:color="auto"/>
        <w:right w:val="none" w:sz="0" w:space="0" w:color="auto"/>
      </w:divBdr>
    </w:div>
    <w:div w:id="1035426060">
      <w:bodyDiv w:val="1"/>
      <w:marLeft w:val="0"/>
      <w:marRight w:val="0"/>
      <w:marTop w:val="0"/>
      <w:marBottom w:val="0"/>
      <w:divBdr>
        <w:top w:val="none" w:sz="0" w:space="0" w:color="auto"/>
        <w:left w:val="none" w:sz="0" w:space="0" w:color="auto"/>
        <w:bottom w:val="none" w:sz="0" w:space="0" w:color="auto"/>
        <w:right w:val="none" w:sz="0" w:space="0" w:color="auto"/>
      </w:divBdr>
    </w:div>
    <w:div w:id="1170681805">
      <w:bodyDiv w:val="1"/>
      <w:marLeft w:val="0"/>
      <w:marRight w:val="0"/>
      <w:marTop w:val="0"/>
      <w:marBottom w:val="0"/>
      <w:divBdr>
        <w:top w:val="none" w:sz="0" w:space="0" w:color="auto"/>
        <w:left w:val="none" w:sz="0" w:space="0" w:color="auto"/>
        <w:bottom w:val="none" w:sz="0" w:space="0" w:color="auto"/>
        <w:right w:val="none" w:sz="0" w:space="0" w:color="auto"/>
      </w:divBdr>
    </w:div>
    <w:div w:id="1717661499">
      <w:bodyDiv w:val="1"/>
      <w:marLeft w:val="0"/>
      <w:marRight w:val="0"/>
      <w:marTop w:val="0"/>
      <w:marBottom w:val="0"/>
      <w:divBdr>
        <w:top w:val="none" w:sz="0" w:space="0" w:color="auto"/>
        <w:left w:val="none" w:sz="0" w:space="0" w:color="auto"/>
        <w:bottom w:val="none" w:sz="0" w:space="0" w:color="auto"/>
        <w:right w:val="none" w:sz="0" w:space="0" w:color="auto"/>
      </w:divBdr>
    </w:div>
    <w:div w:id="1910652913">
      <w:bodyDiv w:val="1"/>
      <w:marLeft w:val="0"/>
      <w:marRight w:val="0"/>
      <w:marTop w:val="0"/>
      <w:marBottom w:val="0"/>
      <w:divBdr>
        <w:top w:val="none" w:sz="0" w:space="0" w:color="auto"/>
        <w:left w:val="none" w:sz="0" w:space="0" w:color="auto"/>
        <w:bottom w:val="none" w:sz="0" w:space="0" w:color="auto"/>
        <w:right w:val="none" w:sz="0" w:space="0" w:color="auto"/>
      </w:divBdr>
    </w:div>
    <w:div w:id="1971130531">
      <w:bodyDiv w:val="1"/>
      <w:marLeft w:val="0"/>
      <w:marRight w:val="0"/>
      <w:marTop w:val="0"/>
      <w:marBottom w:val="0"/>
      <w:divBdr>
        <w:top w:val="none" w:sz="0" w:space="0" w:color="auto"/>
        <w:left w:val="none" w:sz="0" w:space="0" w:color="auto"/>
        <w:bottom w:val="none" w:sz="0" w:space="0" w:color="auto"/>
        <w:right w:val="none" w:sz="0" w:space="0" w:color="auto"/>
      </w:divBdr>
    </w:div>
    <w:div w:id="20942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ci@investinkidsl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0BF2302B52D045ACB2319B3BD32D13" ma:contentTypeVersion="" ma:contentTypeDescription="Create a new document." ma:contentTypeScope="" ma:versionID="103126fdb8bbb01f6a2a9747a53b655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D14C-4BCB-4F77-B7C2-5A56EAEDF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EF692A-DAFC-4CA3-9249-B86621EE110A}">
  <ds:schemaRefs>
    <ds:schemaRef ds:uri="http://schemas.microsoft.com/sharepoint/v3/contenttype/forms"/>
  </ds:schemaRefs>
</ds:datastoreItem>
</file>

<file path=customXml/itemProps3.xml><?xml version="1.0" encoding="utf-8"?>
<ds:datastoreItem xmlns:ds="http://schemas.openxmlformats.org/officeDocument/2006/customXml" ds:itemID="{786F0EA6-E933-4C53-A418-0A883C6B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A22462-98C1-467F-A2BE-68FC1F5A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First 5 LA</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Chung Hagen</dc:creator>
  <cp:lastModifiedBy>huong@gcir.org</cp:lastModifiedBy>
  <cp:revision>3</cp:revision>
  <dcterms:created xsi:type="dcterms:W3CDTF">2019-03-22T03:06:00Z</dcterms:created>
  <dcterms:modified xsi:type="dcterms:W3CDTF">2019-03-23T04:22:00Z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0x0101001E0BF2302B52D045ACB2319B3BD32D13</vt:lpwstr>
  </property>
</Properties>
</file>